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EB13F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A20354" w:rsidRDefault="007D1E76" w:rsidP="00A2035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rFonts w:asciiTheme="majorHAnsi" w:eastAsiaTheme="majorEastAsia" w:hAnsiTheme="majorHAnsi" w:cstheme="majorBidi"/>
          <w:b/>
          <w:bCs/>
          <w:color w:val="2E74B5" w:themeColor="accent1" w:themeShade="BF"/>
          <w:sz w:val="32"/>
          <w:szCs w:val="32"/>
          <w:lang w:eastAsia="es-MX"/>
        </w:rPr>
      </w:sdtEndPr>
      <w:sdtContent>
        <w:sdt>
          <w:sdtPr>
            <w:rPr>
              <w:rFonts w:ascii="Calibri" w:eastAsia="Calibri" w:hAnsi="Calibri" w:cs="Times New Roman"/>
              <w:color w:val="auto"/>
              <w:sz w:val="22"/>
              <w:szCs w:val="22"/>
              <w:lang w:val="es-ES" w:eastAsia="en-US"/>
            </w:rPr>
            <w:id w:val="-450012516"/>
            <w:docPartObj>
              <w:docPartGallery w:val="Table of Contents"/>
              <w:docPartUnique/>
            </w:docPartObj>
          </w:sdtPr>
          <w:sdtEndPr>
            <w:rPr>
              <w:b/>
              <w:bCs/>
            </w:rPr>
          </w:sdtEndPr>
          <w:sdtContent>
            <w:p w:rsidR="002F57CC" w:rsidRDefault="002F57CC" w:rsidP="002F57CC">
              <w:pPr>
                <w:pStyle w:val="TtuloTDC"/>
                <w:rPr>
                  <w:lang w:val="es-ES"/>
                </w:rPr>
              </w:pPr>
              <w:r>
                <w:rPr>
                  <w:lang w:val="es-ES"/>
                </w:rPr>
                <w:t>Contenido</w:t>
              </w:r>
            </w:p>
            <w:p w:rsidR="002F57CC" w:rsidRPr="00516100" w:rsidRDefault="002F57CC" w:rsidP="002F57CC">
              <w:pPr>
                <w:rPr>
                  <w:lang w:val="es-ES" w:eastAsia="es-MX"/>
                </w:rPr>
              </w:pPr>
            </w:p>
            <w:p w:rsidR="000A62F9" w:rsidRDefault="002F57CC" w:rsidP="000A62F9">
              <w:pPr>
                <w:pStyle w:val="TDC2"/>
                <w:tabs>
                  <w:tab w:val="right" w:leader="dot" w:pos="9678"/>
                </w:tabs>
              </w:pPr>
              <w:r>
                <w:fldChar w:fldCharType="begin"/>
              </w:r>
              <w:r>
                <w:instrText xml:space="preserve"> TOC \o "1-3" \h \z \u </w:instrText>
              </w:r>
              <w:r>
                <w:fldChar w:fldCharType="separate"/>
              </w:r>
              <w:r w:rsidR="000A62F9">
                <w:t>1. Autorización e Historia:</w:t>
              </w:r>
              <w:r w:rsidR="000A62F9">
                <w:tab/>
                <w:t>2</w:t>
              </w:r>
            </w:p>
            <w:p w:rsidR="000A62F9" w:rsidRDefault="000A62F9" w:rsidP="000A62F9">
              <w:pPr>
                <w:pStyle w:val="TDC2"/>
                <w:tabs>
                  <w:tab w:val="right" w:leader="dot" w:pos="9678"/>
                </w:tabs>
              </w:pPr>
              <w:r>
                <w:t>2. Panorama Económico y Financiero</w:t>
              </w:r>
              <w:r>
                <w:tab/>
                <w:t>2</w:t>
              </w:r>
            </w:p>
            <w:p w:rsidR="000A62F9" w:rsidRDefault="000A62F9" w:rsidP="000A62F9">
              <w:pPr>
                <w:pStyle w:val="TDC2"/>
                <w:tabs>
                  <w:tab w:val="right" w:leader="dot" w:pos="9678"/>
                </w:tabs>
              </w:pPr>
              <w:r>
                <w:t>3. Organización y Objeto Social:</w:t>
              </w:r>
              <w:r>
                <w:tab/>
                <w:t>2</w:t>
              </w:r>
            </w:p>
            <w:p w:rsidR="000A62F9" w:rsidRDefault="000A62F9" w:rsidP="000A62F9">
              <w:pPr>
                <w:pStyle w:val="TDC2"/>
                <w:tabs>
                  <w:tab w:val="right" w:leader="dot" w:pos="9678"/>
                </w:tabs>
              </w:pPr>
              <w:r>
                <w:t>4. Bases de Preparación de los Estados Financieros:</w:t>
              </w:r>
              <w:r>
                <w:tab/>
                <w:t>4</w:t>
              </w:r>
            </w:p>
            <w:p w:rsidR="000A62F9" w:rsidRDefault="000A62F9" w:rsidP="000A62F9">
              <w:pPr>
                <w:pStyle w:val="TDC2"/>
                <w:tabs>
                  <w:tab w:val="right" w:leader="dot" w:pos="9678"/>
                </w:tabs>
              </w:pPr>
              <w:r>
                <w:t>5. Políticas de Contabilidad Significativas:</w:t>
              </w:r>
              <w:r>
                <w:tab/>
                <w:t>6</w:t>
              </w:r>
            </w:p>
            <w:p w:rsidR="000A62F9" w:rsidRDefault="000A62F9" w:rsidP="000A62F9">
              <w:pPr>
                <w:pStyle w:val="TDC2"/>
                <w:tabs>
                  <w:tab w:val="right" w:leader="dot" w:pos="9678"/>
                </w:tabs>
              </w:pPr>
              <w:r>
                <w:t>6. Posición en Moneda Extranjera y Protección por Riesgo Cambiario:</w:t>
              </w:r>
              <w:r>
                <w:tab/>
                <w:t>7</w:t>
              </w:r>
            </w:p>
            <w:p w:rsidR="000A62F9" w:rsidRDefault="000A62F9" w:rsidP="000A62F9">
              <w:pPr>
                <w:pStyle w:val="TDC2"/>
                <w:tabs>
                  <w:tab w:val="right" w:leader="dot" w:pos="9678"/>
                </w:tabs>
              </w:pPr>
              <w:r>
                <w:t>7. Reporte Analítico del Activo:</w:t>
              </w:r>
              <w:r>
                <w:tab/>
                <w:t>8</w:t>
              </w:r>
            </w:p>
            <w:p w:rsidR="000A62F9" w:rsidRDefault="000A62F9" w:rsidP="000A62F9">
              <w:pPr>
                <w:pStyle w:val="TDC2"/>
                <w:tabs>
                  <w:tab w:val="right" w:leader="dot" w:pos="9678"/>
                </w:tabs>
              </w:pPr>
              <w:r>
                <w:t>8. Fideicomisos, Mandatos y Análogos:</w:t>
              </w:r>
              <w:r>
                <w:tab/>
                <w:t>10</w:t>
              </w:r>
            </w:p>
            <w:p w:rsidR="000A62F9" w:rsidRDefault="000A62F9" w:rsidP="000A62F9">
              <w:pPr>
                <w:pStyle w:val="TDC2"/>
                <w:tabs>
                  <w:tab w:val="right" w:leader="dot" w:pos="9678"/>
                </w:tabs>
              </w:pPr>
              <w:r>
                <w:t>9. Reporte de la Recaudación:</w:t>
              </w:r>
              <w:r>
                <w:tab/>
                <w:t>10</w:t>
              </w:r>
            </w:p>
            <w:p w:rsidR="000A62F9" w:rsidRDefault="000A62F9" w:rsidP="000A62F9">
              <w:pPr>
                <w:pStyle w:val="TDC2"/>
                <w:tabs>
                  <w:tab w:val="right" w:leader="dot" w:pos="9678"/>
                </w:tabs>
              </w:pPr>
              <w:r>
                <w:t>10. Información sobre la Deuda y el Reporte Analítico de la Deuda:</w:t>
              </w:r>
              <w:r>
                <w:tab/>
                <w:t>11</w:t>
              </w:r>
            </w:p>
            <w:p w:rsidR="000A62F9" w:rsidRDefault="000A62F9" w:rsidP="000A62F9">
              <w:pPr>
                <w:pStyle w:val="TDC2"/>
                <w:tabs>
                  <w:tab w:val="right" w:leader="dot" w:pos="9678"/>
                </w:tabs>
              </w:pPr>
              <w:r>
                <w:t>11. Calificaciones otorgadas:</w:t>
              </w:r>
              <w:r>
                <w:tab/>
                <w:t>11</w:t>
              </w:r>
            </w:p>
            <w:p w:rsidR="000A62F9" w:rsidRDefault="000A62F9" w:rsidP="000A62F9">
              <w:pPr>
                <w:pStyle w:val="TDC2"/>
                <w:tabs>
                  <w:tab w:val="right" w:leader="dot" w:pos="9678"/>
                </w:tabs>
              </w:pPr>
              <w:r>
                <w:t>12. Proceso de Mejora:</w:t>
              </w:r>
              <w:r>
                <w:tab/>
                <w:t>11</w:t>
              </w:r>
            </w:p>
            <w:p w:rsidR="000A62F9" w:rsidRDefault="000A62F9" w:rsidP="000A62F9">
              <w:pPr>
                <w:pStyle w:val="TDC2"/>
                <w:tabs>
                  <w:tab w:val="right" w:leader="dot" w:pos="9678"/>
                </w:tabs>
              </w:pPr>
              <w:r>
                <w:t>13. Información por Segmentos:</w:t>
              </w:r>
              <w:r>
                <w:tab/>
                <w:t>11</w:t>
              </w:r>
            </w:p>
            <w:p w:rsidR="000A62F9" w:rsidRDefault="000A62F9" w:rsidP="000A62F9">
              <w:pPr>
                <w:pStyle w:val="TDC2"/>
                <w:tabs>
                  <w:tab w:val="right" w:leader="dot" w:pos="9678"/>
                </w:tabs>
              </w:pPr>
              <w:r>
                <w:t>14. Eventos Posteriores al Cierre:</w:t>
              </w:r>
              <w:r>
                <w:tab/>
                <w:t>12</w:t>
              </w:r>
            </w:p>
            <w:p w:rsidR="000A62F9" w:rsidRDefault="000A62F9" w:rsidP="000A62F9">
              <w:pPr>
                <w:pStyle w:val="TDC2"/>
                <w:tabs>
                  <w:tab w:val="right" w:leader="dot" w:pos="9678"/>
                </w:tabs>
              </w:pPr>
              <w:r>
                <w:t>15. Partes Relacionadas:</w:t>
              </w:r>
              <w:r>
                <w:tab/>
                <w:t>12</w:t>
              </w:r>
            </w:p>
            <w:p w:rsidR="002F57CC" w:rsidRPr="002F57CC" w:rsidRDefault="000A62F9" w:rsidP="000A62F9">
              <w:pPr>
                <w:pStyle w:val="TDC2"/>
                <w:tabs>
                  <w:tab w:val="right" w:leader="dot" w:pos="9678"/>
                </w:tabs>
                <w:rPr>
                  <w:rFonts w:asciiTheme="minorHAnsi" w:eastAsiaTheme="minorEastAsia" w:hAnsiTheme="minorHAnsi" w:cstheme="minorBidi"/>
                  <w:noProof/>
                  <w:kern w:val="2"/>
                  <w:sz w:val="24"/>
                  <w:szCs w:val="24"/>
                  <w:lang w:eastAsia="es-MX"/>
                </w:rPr>
              </w:pPr>
              <w:r>
                <w:t>16. Responsabilidad Sobre la Presentación Razonable de la Información Contable:</w:t>
              </w:r>
              <w:r>
                <w:tab/>
                <w:t>12</w:t>
              </w:r>
            </w:p>
            <w:p w:rsidR="002F57CC" w:rsidRDefault="002F57CC" w:rsidP="002F57CC">
              <w:pPr>
                <w:rPr>
                  <w:b/>
                  <w:bCs/>
                  <w:lang w:val="es-ES"/>
                </w:rPr>
              </w:pPr>
              <w:r>
                <w:rPr>
                  <w:b/>
                  <w:bCs/>
                  <w:lang w:val="es-ES"/>
                </w:rPr>
                <w:fldChar w:fldCharType="end"/>
              </w:r>
            </w:p>
          </w:sdtContent>
        </w:sdt>
        <w:p w:rsidR="00F46719" w:rsidRDefault="00EB13F0" w:rsidP="002F57CC">
          <w:pPr>
            <w:pStyle w:val="TtuloTDC"/>
          </w:pPr>
        </w:p>
      </w:sdtContent>
    </w:sdt>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2F57CC" w:rsidRPr="002F57CC" w:rsidRDefault="002F57CC" w:rsidP="002F57CC">
      <w:pPr>
        <w:keepNext/>
        <w:keepLines/>
        <w:spacing w:before="40" w:after="0"/>
        <w:outlineLvl w:val="1"/>
        <w:rPr>
          <w:rFonts w:asciiTheme="minorHAnsi" w:eastAsiaTheme="majorEastAsia" w:hAnsiTheme="minorHAnsi" w:cstheme="minorHAnsi"/>
          <w:b/>
          <w:szCs w:val="26"/>
        </w:rPr>
      </w:pPr>
      <w:bookmarkStart w:id="0" w:name="_Toc161472866"/>
      <w:r w:rsidRPr="002F57CC">
        <w:rPr>
          <w:rFonts w:asciiTheme="minorHAnsi" w:eastAsiaTheme="majorEastAsia" w:hAnsiTheme="minorHAnsi" w:cstheme="minorHAnsi"/>
          <w:b/>
          <w:szCs w:val="26"/>
        </w:rPr>
        <w:t>1. Autorización e Historia:</w:t>
      </w:r>
      <w:bookmarkEnd w:id="0"/>
    </w:p>
    <w:p w:rsidR="002F57CC" w:rsidRPr="002F57CC" w:rsidRDefault="002F57CC" w:rsidP="002F57CC">
      <w:pPr>
        <w:tabs>
          <w:tab w:val="left" w:leader="underscore" w:pos="9639"/>
        </w:tabs>
        <w:spacing w:after="0" w:line="240" w:lineRule="auto"/>
        <w:jc w:val="both"/>
        <w:rPr>
          <w:rFonts w:cs="Calibri"/>
        </w:rPr>
      </w:pPr>
    </w:p>
    <w:p w:rsidR="002F57CC" w:rsidRPr="002F57CC" w:rsidRDefault="002F57CC" w:rsidP="002F57CC">
      <w:pPr>
        <w:tabs>
          <w:tab w:val="left" w:leader="underscore" w:pos="9639"/>
        </w:tabs>
        <w:spacing w:after="0" w:line="240" w:lineRule="auto"/>
        <w:jc w:val="both"/>
        <w:rPr>
          <w:rFonts w:cs="Calibri"/>
        </w:rPr>
      </w:pPr>
      <w:r w:rsidRPr="002F57CC">
        <w:rPr>
          <w:rFonts w:cs="Calibri"/>
        </w:rPr>
        <w:t>Se informará sobre:</w:t>
      </w:r>
    </w:p>
    <w:p w:rsidR="002F57CC" w:rsidRPr="002F57CC" w:rsidRDefault="002F57CC" w:rsidP="002F57CC">
      <w:pPr>
        <w:tabs>
          <w:tab w:val="left" w:leader="underscore" w:pos="9639"/>
        </w:tabs>
        <w:spacing w:after="0" w:line="240" w:lineRule="auto"/>
        <w:jc w:val="both"/>
        <w:rPr>
          <w:rFonts w:cs="Calibri"/>
        </w:rPr>
      </w:pPr>
    </w:p>
    <w:p w:rsidR="002F57CC" w:rsidRPr="002F57CC" w:rsidRDefault="002F57CC" w:rsidP="002F57CC">
      <w:pPr>
        <w:tabs>
          <w:tab w:val="left" w:leader="underscore" w:pos="9639"/>
        </w:tabs>
        <w:spacing w:after="0" w:line="240" w:lineRule="auto"/>
        <w:jc w:val="both"/>
        <w:rPr>
          <w:rFonts w:cs="Calibri"/>
        </w:rPr>
      </w:pPr>
      <w:r w:rsidRPr="002F57CC">
        <w:rPr>
          <w:rFonts w:cs="Calibri"/>
          <w:b/>
        </w:rPr>
        <w:t>a)</w:t>
      </w:r>
      <w:r w:rsidRPr="002F57CC">
        <w:rPr>
          <w:rFonts w:cs="Calibri"/>
        </w:rPr>
        <w:t xml:space="preserve"> Fecha de creación del ente público.</w:t>
      </w:r>
    </w:p>
    <w:p w:rsidR="002F57CC" w:rsidRPr="002F57CC" w:rsidRDefault="002F57CC" w:rsidP="002F57CC">
      <w:pPr>
        <w:tabs>
          <w:tab w:val="left" w:leader="underscore" w:pos="9639"/>
        </w:tabs>
        <w:spacing w:after="0" w:line="240" w:lineRule="auto"/>
        <w:jc w:val="both"/>
        <w:rPr>
          <w:rFonts w:cs="Calibri"/>
        </w:rPr>
      </w:pPr>
    </w:p>
    <w:p w:rsidR="002F57CC" w:rsidRPr="002F57CC" w:rsidRDefault="002F57CC" w:rsidP="002F57CC">
      <w:pPr>
        <w:ind w:left="709"/>
        <w:jc w:val="both"/>
        <w:rPr>
          <w:rFonts w:ascii="Arial" w:hAnsi="Arial" w:cs="Arial"/>
          <w:sz w:val="20"/>
          <w:szCs w:val="20"/>
        </w:rPr>
      </w:pPr>
      <w:r w:rsidRPr="002F57CC">
        <w:rPr>
          <w:rFonts w:ascii="Arial" w:hAnsi="Arial" w:cs="Arial"/>
          <w:sz w:val="20"/>
          <w:szCs w:val="20"/>
        </w:rPr>
        <w:t>No se cuenta con el documento que le da origen a su creación como Organismos Descentralizado de la Administración Municipal, y para efectos fiscales se registra ante la Secretaría de Hacienda y Crédito Público con fecha 13 de Julio de 1983.</w:t>
      </w:r>
    </w:p>
    <w:p w:rsidR="002F57CC" w:rsidRPr="002F57CC" w:rsidRDefault="002F57CC" w:rsidP="002F57CC">
      <w:pPr>
        <w:tabs>
          <w:tab w:val="left" w:leader="underscore" w:pos="9639"/>
        </w:tabs>
        <w:spacing w:after="0" w:line="240" w:lineRule="auto"/>
        <w:jc w:val="both"/>
        <w:rPr>
          <w:rFonts w:cs="Calibri"/>
        </w:rPr>
      </w:pPr>
    </w:p>
    <w:p w:rsidR="002F57CC" w:rsidRPr="002F57CC" w:rsidRDefault="002F57CC" w:rsidP="002F57CC">
      <w:pPr>
        <w:tabs>
          <w:tab w:val="left" w:leader="underscore" w:pos="9639"/>
        </w:tabs>
        <w:spacing w:after="0" w:line="240" w:lineRule="auto"/>
        <w:jc w:val="both"/>
        <w:rPr>
          <w:rFonts w:cs="Calibri"/>
        </w:rPr>
      </w:pPr>
      <w:r w:rsidRPr="002F57CC">
        <w:rPr>
          <w:rFonts w:cs="Calibri"/>
          <w:b/>
        </w:rPr>
        <w:t>b)</w:t>
      </w:r>
      <w:r w:rsidRPr="002F57CC">
        <w:rPr>
          <w:rFonts w:cs="Calibri"/>
        </w:rPr>
        <w:t xml:space="preserve"> Principales cambios en su estructura (interna históricamente).</w:t>
      </w:r>
    </w:p>
    <w:p w:rsidR="002F57CC" w:rsidRPr="002F57CC" w:rsidRDefault="002F57CC" w:rsidP="002F57CC">
      <w:pPr>
        <w:tabs>
          <w:tab w:val="left" w:leader="underscore" w:pos="9639"/>
        </w:tabs>
        <w:spacing w:after="0" w:line="240" w:lineRule="auto"/>
        <w:jc w:val="both"/>
        <w:rPr>
          <w:rFonts w:cs="Calibri"/>
        </w:rPr>
      </w:pPr>
    </w:p>
    <w:p w:rsidR="002F57CC" w:rsidRPr="002F57CC" w:rsidRDefault="002F57CC" w:rsidP="002F57CC">
      <w:pPr>
        <w:ind w:left="709"/>
        <w:jc w:val="both"/>
        <w:rPr>
          <w:rFonts w:ascii="Arial" w:hAnsi="Arial" w:cs="Arial"/>
          <w:sz w:val="20"/>
          <w:szCs w:val="20"/>
        </w:rPr>
      </w:pPr>
      <w:r w:rsidRPr="002F57CC">
        <w:rPr>
          <w:rFonts w:cs="Calibri"/>
        </w:rPr>
        <w:tab/>
      </w:r>
      <w:r w:rsidRPr="002F57CC">
        <w:rPr>
          <w:rFonts w:ascii="Arial" w:hAnsi="Arial" w:cs="Arial"/>
          <w:sz w:val="20"/>
          <w:szCs w:val="20"/>
        </w:rPr>
        <w:t>Se ha mantenido la misma estructura en los últimos 10 años, sin cambios importantes.</w:t>
      </w:r>
    </w:p>
    <w:p w:rsidR="002F57CC" w:rsidRPr="002F57CC" w:rsidRDefault="002F57CC" w:rsidP="002F57CC">
      <w:pPr>
        <w:tabs>
          <w:tab w:val="left" w:leader="underscore" w:pos="9639"/>
        </w:tabs>
        <w:spacing w:after="0" w:line="240" w:lineRule="auto"/>
        <w:jc w:val="both"/>
        <w:rPr>
          <w:rFonts w:cs="Calibri"/>
        </w:rPr>
      </w:pPr>
    </w:p>
    <w:p w:rsidR="002F57CC" w:rsidRPr="002F57CC" w:rsidRDefault="002F57CC" w:rsidP="002F57CC">
      <w:pPr>
        <w:keepNext/>
        <w:keepLines/>
        <w:spacing w:before="40" w:after="0"/>
        <w:outlineLvl w:val="1"/>
        <w:rPr>
          <w:rFonts w:asciiTheme="minorHAnsi" w:eastAsiaTheme="majorEastAsia" w:hAnsiTheme="minorHAnsi" w:cstheme="minorHAnsi"/>
          <w:b/>
          <w:szCs w:val="26"/>
        </w:rPr>
      </w:pPr>
      <w:bookmarkStart w:id="1" w:name="_Toc161472867"/>
      <w:r w:rsidRPr="002F57CC">
        <w:rPr>
          <w:rFonts w:asciiTheme="minorHAnsi" w:eastAsiaTheme="majorEastAsia" w:hAnsiTheme="minorHAnsi" w:cstheme="minorHAnsi"/>
          <w:b/>
          <w:szCs w:val="26"/>
        </w:rPr>
        <w:t>2. Panorama Económico y Financiero</w:t>
      </w:r>
      <w:bookmarkEnd w:id="1"/>
    </w:p>
    <w:p w:rsidR="002F57CC" w:rsidRPr="002F57CC" w:rsidRDefault="002F57CC" w:rsidP="002F57CC">
      <w:pPr>
        <w:tabs>
          <w:tab w:val="left" w:leader="underscore" w:pos="9639"/>
        </w:tabs>
        <w:spacing w:after="0" w:line="240" w:lineRule="auto"/>
        <w:jc w:val="both"/>
        <w:rPr>
          <w:rFonts w:cs="Calibri"/>
        </w:rPr>
      </w:pPr>
      <w:r w:rsidRPr="002F57CC">
        <w:rPr>
          <w:rFonts w:cs="Calibri"/>
        </w:rPr>
        <w:t>Se informará sobre las principales condiciones económico-financieras bajo las cuales el ente público estuvo operando; y las cuales influyeron en la toma de decisiones de la administración; tanto a nivel local como federal.</w:t>
      </w:r>
    </w:p>
    <w:p w:rsidR="007D1E76" w:rsidRPr="002F57CC" w:rsidRDefault="002F57CC" w:rsidP="002F57CC">
      <w:pPr>
        <w:ind w:left="708"/>
        <w:jc w:val="both"/>
        <w:rPr>
          <w:rFonts w:ascii="Arial" w:hAnsi="Arial" w:cs="Arial"/>
          <w:sz w:val="20"/>
          <w:szCs w:val="20"/>
        </w:rPr>
      </w:pPr>
      <w:r w:rsidRPr="002F57CC">
        <w:rPr>
          <w:rFonts w:cs="Calibri"/>
        </w:rPr>
        <w:tab/>
      </w:r>
      <w:r w:rsidRPr="002F57CC">
        <w:rPr>
          <w:rFonts w:ascii="Arial" w:hAnsi="Arial" w:cs="Arial"/>
          <w:sz w:val="20"/>
          <w:szCs w:val="20"/>
        </w:rPr>
        <w:t>Este</w:t>
      </w:r>
      <w:r w:rsidRPr="002F57CC">
        <w:rPr>
          <w:rFonts w:ascii="Arial" w:hAnsi="Arial" w:cs="Arial"/>
          <w:b/>
          <w:sz w:val="20"/>
          <w:szCs w:val="20"/>
        </w:rPr>
        <w:t xml:space="preserve"> Sistema de Agua Potable y Alcantarillado de Tarimoro, Gto.,</w:t>
      </w:r>
      <w:r w:rsidRPr="002F57CC">
        <w:rPr>
          <w:rFonts w:ascii="Arial" w:hAnsi="Arial" w:cs="Arial"/>
          <w:sz w:val="20"/>
          <w:szCs w:val="20"/>
        </w:rPr>
        <w:t xml:space="preserve"> inicia el Ejercicio Fiscal 2024 con un presupuesto de </w:t>
      </w:r>
      <w:r w:rsidRPr="002F57CC">
        <w:rPr>
          <w:rFonts w:ascii="Arial" w:hAnsi="Arial" w:cs="Arial"/>
          <w:b/>
          <w:sz w:val="20"/>
          <w:szCs w:val="20"/>
        </w:rPr>
        <w:t>25,243,904.00 Millones.</w:t>
      </w:r>
      <w:r w:rsidRPr="002F57CC">
        <w:rPr>
          <w:rFonts w:ascii="Arial" w:hAnsi="Arial" w:cs="Arial"/>
          <w:sz w:val="20"/>
          <w:szCs w:val="20"/>
        </w:rPr>
        <w:t xml:space="preserve"> </w:t>
      </w:r>
      <w:r w:rsidR="00EB13F0">
        <w:rPr>
          <w:rFonts w:ascii="Arial" w:hAnsi="Arial" w:cs="Arial"/>
          <w:sz w:val="20"/>
          <w:szCs w:val="20"/>
        </w:rPr>
        <w:t>Hacia el segundo</w:t>
      </w:r>
      <w:r>
        <w:rPr>
          <w:rFonts w:ascii="Arial" w:hAnsi="Arial" w:cs="Arial"/>
          <w:sz w:val="20"/>
          <w:szCs w:val="20"/>
        </w:rPr>
        <w:t xml:space="preserve"> trimestre no se ha realizado modificación en el techo financiero.</w:t>
      </w:r>
    </w:p>
    <w:p w:rsidR="007D1E76" w:rsidRPr="000C3365" w:rsidRDefault="002F57CC" w:rsidP="000C3365">
      <w:pPr>
        <w:pStyle w:val="Ttulo2"/>
        <w:rPr>
          <w:rFonts w:asciiTheme="minorHAnsi" w:hAnsiTheme="minorHAnsi" w:cstheme="minorHAnsi"/>
          <w:b/>
          <w:color w:val="auto"/>
          <w:sz w:val="22"/>
        </w:rPr>
      </w:pPr>
      <w:bookmarkStart w:id="2" w:name="_Toc508279624"/>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EB13F0" w:rsidP="00EB13F0">
      <w:pPr>
        <w:tabs>
          <w:tab w:val="left" w:pos="3735"/>
        </w:tabs>
        <w:spacing w:after="0" w:line="240" w:lineRule="auto"/>
        <w:jc w:val="both"/>
        <w:rPr>
          <w:rFonts w:cs="Calibri"/>
        </w:rPr>
      </w:pPr>
      <w:r>
        <w:rPr>
          <w:rFonts w:cs="Calibri"/>
        </w:rPr>
        <w:tab/>
      </w:r>
      <w:bookmarkStart w:id="3" w:name="_GoBack"/>
      <w:bookmarkEnd w:id="3"/>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7D1E76" w:rsidRPr="00E74967" w:rsidRDefault="00A20354" w:rsidP="00CB41C4">
      <w:pPr>
        <w:tabs>
          <w:tab w:val="left" w:leader="underscore" w:pos="9639"/>
        </w:tabs>
        <w:spacing w:after="0" w:line="240" w:lineRule="auto"/>
        <w:jc w:val="both"/>
        <w:rPr>
          <w:rFonts w:cs="Calibri"/>
        </w:rPr>
      </w:pPr>
      <w:r>
        <w:rPr>
          <w:rFonts w:ascii="Arial" w:hAnsi="Arial" w:cs="Arial"/>
          <w:sz w:val="20"/>
          <w:szCs w:val="20"/>
        </w:rPr>
        <w:t xml:space="preserve">Prestar el Servicio Público de Agua Potable y Alcantarillado en el Municipio de Tarimoro, Gto., de conformidad al </w:t>
      </w:r>
      <w:r w:rsidRPr="00175D33">
        <w:rPr>
          <w:rFonts w:ascii="Arial" w:hAnsi="Arial" w:cs="Arial"/>
          <w:sz w:val="20"/>
          <w:szCs w:val="20"/>
        </w:rPr>
        <w:t xml:space="preserve">artículo 115 de la Constitución Política de los Estados Unidos Mexicanos, 117 de la Constitución Política para el Estado de Guanajuato y 141 de la Ley Orgánica Municipal </w:t>
      </w:r>
      <w:r>
        <w:rPr>
          <w:rFonts w:ascii="Arial" w:hAnsi="Arial" w:cs="Arial"/>
          <w:sz w:val="20"/>
          <w:szCs w:val="20"/>
        </w:rPr>
        <w:t>para el Estado de Guanajuato.</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A20354" w:rsidRPr="00E74967" w:rsidRDefault="00A20354" w:rsidP="00CB41C4">
      <w:pPr>
        <w:tabs>
          <w:tab w:val="left" w:leader="underscore" w:pos="9639"/>
        </w:tabs>
        <w:spacing w:after="0" w:line="240" w:lineRule="auto"/>
        <w:jc w:val="both"/>
        <w:rPr>
          <w:rFonts w:cs="Calibri"/>
        </w:rPr>
      </w:pPr>
    </w:p>
    <w:p w:rsidR="007D1E76" w:rsidRDefault="00A20354" w:rsidP="00CB41C4">
      <w:pPr>
        <w:tabs>
          <w:tab w:val="left" w:leader="underscore" w:pos="9639"/>
        </w:tabs>
        <w:spacing w:after="0" w:line="240" w:lineRule="auto"/>
        <w:jc w:val="both"/>
        <w:rPr>
          <w:rFonts w:cs="Calibri"/>
        </w:rPr>
      </w:pPr>
      <w:r w:rsidRPr="00902C01">
        <w:rPr>
          <w:rFonts w:ascii="Arial" w:hAnsi="Arial" w:cs="Arial"/>
          <w:sz w:val="20"/>
          <w:szCs w:val="20"/>
        </w:rPr>
        <w:t>Detección, Extracción, Conducción, Potabilización del Agua y Tratamiento de Aguas Residuales, así como la Planeación, Construcción y Mantenimiento de las redes y equipamiento necesario para el suministro de este servicio a la población, así como el Drenaje, Alcantarillado y Tratamiento de las Aguas</w:t>
      </w: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00E87734">
        <w:rPr>
          <w:rFonts w:cs="Calibri"/>
        </w:rPr>
        <w:t xml:space="preserve"> Ejercicio fiscal </w:t>
      </w:r>
      <w:r w:rsidR="00A62400">
        <w:rPr>
          <w:rFonts w:ascii="Arial" w:hAnsi="Arial" w:cs="Arial"/>
          <w:sz w:val="20"/>
          <w:szCs w:val="20"/>
        </w:rPr>
        <w:t>2024</w:t>
      </w:r>
      <w:r w:rsidR="00A20354">
        <w:rPr>
          <w:rFonts w:ascii="Arial" w:hAnsi="Arial" w:cs="Arial"/>
          <w:sz w:val="20"/>
          <w:szCs w:val="20"/>
        </w:rPr>
        <w:t xml:space="preserve"> (Enero a Diciembre)</w:t>
      </w:r>
    </w:p>
    <w:p w:rsidR="00A20354" w:rsidRDefault="00A20354"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rsidR="00D33963" w:rsidRDefault="00D33963" w:rsidP="00D33963">
      <w:pPr>
        <w:ind w:left="708"/>
        <w:jc w:val="both"/>
        <w:rPr>
          <w:rFonts w:ascii="Arial" w:hAnsi="Arial" w:cs="Arial"/>
          <w:sz w:val="20"/>
          <w:szCs w:val="20"/>
        </w:rPr>
      </w:pPr>
    </w:p>
    <w:p w:rsidR="00D33963" w:rsidRPr="00175D33" w:rsidRDefault="00D33963" w:rsidP="00D33963">
      <w:pPr>
        <w:ind w:left="708"/>
        <w:jc w:val="both"/>
        <w:rPr>
          <w:rFonts w:ascii="Arial" w:hAnsi="Arial" w:cs="Arial"/>
          <w:sz w:val="20"/>
          <w:szCs w:val="20"/>
        </w:rPr>
      </w:pPr>
      <w:r w:rsidRPr="00D04A31">
        <w:rPr>
          <w:rFonts w:ascii="Arial" w:hAnsi="Arial" w:cs="Arial"/>
          <w:sz w:val="20"/>
          <w:szCs w:val="20"/>
        </w:rPr>
        <w:t>Organismo Público Descentralizado de la Administración Municipal con Personalidad Jurídica y Patrimonio Propio</w:t>
      </w:r>
      <w:r w:rsidRPr="00175D33">
        <w:rPr>
          <w:rFonts w:ascii="Arial" w:hAnsi="Arial" w:cs="Arial"/>
          <w:sz w:val="20"/>
          <w:szCs w:val="20"/>
        </w:rPr>
        <w:t xml:space="preserve">.  </w:t>
      </w:r>
    </w:p>
    <w:p w:rsidR="007D1E76" w:rsidRPr="00A62400" w:rsidRDefault="00D33963" w:rsidP="00A62400">
      <w:pPr>
        <w:ind w:left="708"/>
        <w:jc w:val="both"/>
        <w:rPr>
          <w:rFonts w:ascii="Arial" w:hAnsi="Arial" w:cs="Arial"/>
          <w:sz w:val="20"/>
          <w:szCs w:val="20"/>
        </w:rPr>
      </w:pPr>
      <w:r w:rsidRPr="00175D33">
        <w:rPr>
          <w:rFonts w:ascii="Arial" w:hAnsi="Arial" w:cs="Arial"/>
          <w:sz w:val="20"/>
          <w:szCs w:val="20"/>
        </w:rPr>
        <w:t>Persona Moral sin fines de lucro.</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D33963" w:rsidRDefault="00D33963" w:rsidP="00D33963">
      <w:pPr>
        <w:pStyle w:val="Prrafodelista"/>
        <w:jc w:val="both"/>
        <w:rPr>
          <w:rFonts w:ascii="Arial" w:hAnsi="Arial" w:cs="Arial"/>
          <w:sz w:val="20"/>
          <w:szCs w:val="20"/>
          <w:u w:val="single"/>
        </w:rPr>
      </w:pPr>
    </w:p>
    <w:p w:rsidR="00D33963" w:rsidRDefault="00D33963" w:rsidP="00D33963">
      <w:pPr>
        <w:pStyle w:val="Prrafodelista"/>
        <w:jc w:val="both"/>
        <w:rPr>
          <w:rFonts w:ascii="Arial" w:hAnsi="Arial" w:cs="Arial"/>
          <w:sz w:val="20"/>
          <w:szCs w:val="20"/>
          <w:u w:val="single"/>
        </w:rPr>
      </w:pPr>
      <w:r w:rsidRPr="00175D33">
        <w:rPr>
          <w:rFonts w:ascii="Arial" w:hAnsi="Arial" w:cs="Arial"/>
          <w:sz w:val="20"/>
          <w:szCs w:val="20"/>
          <w:u w:val="single"/>
        </w:rPr>
        <w:t>IMPUESTO AL VALOR AGREGADO</w:t>
      </w:r>
    </w:p>
    <w:p w:rsidR="00D33963" w:rsidRPr="00175D33" w:rsidRDefault="00D33963" w:rsidP="00D33963">
      <w:pPr>
        <w:pStyle w:val="Prrafodelista"/>
        <w:jc w:val="both"/>
        <w:rPr>
          <w:rFonts w:ascii="Arial" w:hAnsi="Arial" w:cs="Arial"/>
          <w:sz w:val="20"/>
          <w:szCs w:val="20"/>
          <w:u w:val="single"/>
        </w:rPr>
      </w:pPr>
    </w:p>
    <w:p w:rsidR="00D33963" w:rsidRPr="00175D33" w:rsidRDefault="00D33963" w:rsidP="00D33963">
      <w:pPr>
        <w:pStyle w:val="Prrafodelista"/>
        <w:numPr>
          <w:ilvl w:val="0"/>
          <w:numId w:val="2"/>
        </w:numPr>
        <w:jc w:val="both"/>
        <w:rPr>
          <w:rFonts w:ascii="Arial" w:hAnsi="Arial" w:cs="Arial"/>
          <w:sz w:val="20"/>
          <w:szCs w:val="20"/>
        </w:rPr>
      </w:pPr>
      <w:r>
        <w:rPr>
          <w:rFonts w:ascii="Arial" w:hAnsi="Arial" w:cs="Arial"/>
          <w:sz w:val="20"/>
          <w:szCs w:val="20"/>
        </w:rPr>
        <w:t xml:space="preserve">Contribuyente, </w:t>
      </w:r>
      <w:r w:rsidRPr="00175D33">
        <w:rPr>
          <w:rFonts w:ascii="Arial" w:hAnsi="Arial" w:cs="Arial"/>
          <w:sz w:val="20"/>
          <w:szCs w:val="20"/>
        </w:rPr>
        <w:t>por las operaciones relacionadas con el suministro de agua potable,</w:t>
      </w:r>
      <w:r>
        <w:rPr>
          <w:rFonts w:ascii="Arial" w:hAnsi="Arial" w:cs="Arial"/>
          <w:sz w:val="20"/>
          <w:szCs w:val="20"/>
        </w:rPr>
        <w:t xml:space="preserve"> drenaje y saneamiento,</w:t>
      </w:r>
      <w:r w:rsidRPr="00175D33">
        <w:rPr>
          <w:rFonts w:ascii="Arial" w:hAnsi="Arial" w:cs="Arial"/>
          <w:sz w:val="20"/>
          <w:szCs w:val="20"/>
        </w:rPr>
        <w:t xml:space="preserve">  pero en todo caso la mayor</w:t>
      </w:r>
      <w:r>
        <w:rPr>
          <w:rFonts w:ascii="Arial" w:hAnsi="Arial" w:cs="Arial"/>
          <w:sz w:val="20"/>
          <w:szCs w:val="20"/>
        </w:rPr>
        <w:t xml:space="preserve"> parte de las operaciones, servicio de agua doméstico,</w:t>
      </w:r>
      <w:r w:rsidRPr="00175D33">
        <w:rPr>
          <w:rFonts w:ascii="Arial" w:hAnsi="Arial" w:cs="Arial"/>
          <w:sz w:val="20"/>
          <w:szCs w:val="20"/>
        </w:rPr>
        <w:t xml:space="preserve"> está gravada a la tasa del 0%, conforme al artículo 2-A, fracción II inciso h) de la Ley del Impuesto al Valor Agregado.</w:t>
      </w:r>
    </w:p>
    <w:p w:rsidR="00D33963" w:rsidRDefault="00D33963" w:rsidP="00D33963">
      <w:pPr>
        <w:ind w:firstLine="708"/>
        <w:jc w:val="both"/>
        <w:rPr>
          <w:rFonts w:ascii="Arial" w:hAnsi="Arial" w:cs="Arial"/>
          <w:sz w:val="20"/>
          <w:szCs w:val="20"/>
          <w:u w:val="single"/>
        </w:rPr>
      </w:pPr>
      <w:r>
        <w:rPr>
          <w:rFonts w:ascii="Arial" w:hAnsi="Arial" w:cs="Arial"/>
          <w:sz w:val="20"/>
          <w:szCs w:val="20"/>
          <w:u w:val="single"/>
        </w:rPr>
        <w:t>IMPUESTO SOBRE LA RENTA</w:t>
      </w:r>
    </w:p>
    <w:p w:rsidR="00D33963" w:rsidRPr="00D33963" w:rsidRDefault="00D33963" w:rsidP="00D33963">
      <w:pPr>
        <w:pStyle w:val="Prrafodelista"/>
        <w:numPr>
          <w:ilvl w:val="0"/>
          <w:numId w:val="4"/>
        </w:numPr>
        <w:jc w:val="both"/>
        <w:rPr>
          <w:rFonts w:ascii="Arial" w:hAnsi="Arial" w:cs="Arial"/>
          <w:sz w:val="20"/>
          <w:szCs w:val="20"/>
          <w:u w:val="single"/>
        </w:rPr>
      </w:pPr>
      <w:r>
        <w:rPr>
          <w:rFonts w:ascii="Arial" w:hAnsi="Arial" w:cs="Arial"/>
          <w:sz w:val="20"/>
          <w:szCs w:val="20"/>
        </w:rPr>
        <w:t>Es retenedor por los ingresos por salarios, asimilados y servicios profesionales independientes.</w:t>
      </w:r>
    </w:p>
    <w:p w:rsidR="00D33963" w:rsidRPr="00175D33" w:rsidRDefault="00D33963" w:rsidP="00D33963">
      <w:pPr>
        <w:ind w:firstLine="708"/>
        <w:jc w:val="both"/>
        <w:rPr>
          <w:rFonts w:ascii="Arial" w:hAnsi="Arial" w:cs="Arial"/>
          <w:sz w:val="20"/>
          <w:szCs w:val="20"/>
          <w:u w:val="single"/>
        </w:rPr>
      </w:pPr>
      <w:r w:rsidRPr="00175D33">
        <w:rPr>
          <w:rFonts w:ascii="Arial" w:hAnsi="Arial" w:cs="Arial"/>
          <w:sz w:val="20"/>
          <w:szCs w:val="20"/>
          <w:u w:val="single"/>
        </w:rPr>
        <w:t>IMPUESTO LOCAL SOBRE NOMINAS</w:t>
      </w:r>
    </w:p>
    <w:p w:rsidR="00D33963" w:rsidRPr="00175D33" w:rsidRDefault="00D33963" w:rsidP="00D33963">
      <w:pPr>
        <w:pStyle w:val="Prrafodelista"/>
        <w:numPr>
          <w:ilvl w:val="0"/>
          <w:numId w:val="2"/>
        </w:numPr>
        <w:jc w:val="both"/>
        <w:rPr>
          <w:rFonts w:ascii="Arial" w:hAnsi="Arial" w:cs="Arial"/>
          <w:sz w:val="20"/>
          <w:szCs w:val="20"/>
        </w:rPr>
      </w:pPr>
      <w:r w:rsidRPr="00175D33">
        <w:rPr>
          <w:rFonts w:ascii="Arial" w:hAnsi="Arial" w:cs="Arial"/>
          <w:sz w:val="20"/>
          <w:szCs w:val="20"/>
        </w:rPr>
        <w:t>Contribuyente por los pagos efectuados por servicios personales subordinados conforme al artículo 1 de la Ley de Hacienda para el Estado de Guanajuato.</w:t>
      </w:r>
    </w:p>
    <w:p w:rsidR="00D33963" w:rsidRPr="00175D33" w:rsidRDefault="00D33963" w:rsidP="00D33963">
      <w:pPr>
        <w:ind w:firstLine="708"/>
        <w:jc w:val="both"/>
        <w:rPr>
          <w:rFonts w:ascii="Arial" w:hAnsi="Arial" w:cs="Arial"/>
          <w:sz w:val="20"/>
          <w:szCs w:val="20"/>
          <w:u w:val="single"/>
        </w:rPr>
      </w:pPr>
      <w:r w:rsidRPr="00175D33">
        <w:rPr>
          <w:rFonts w:ascii="Arial" w:hAnsi="Arial" w:cs="Arial"/>
          <w:sz w:val="20"/>
          <w:szCs w:val="20"/>
          <w:u w:val="single"/>
        </w:rPr>
        <w:t>IMPUESTO LOCAL CEDULAR</w:t>
      </w:r>
    </w:p>
    <w:p w:rsidR="00D33963" w:rsidRPr="00175D33" w:rsidRDefault="00D33963" w:rsidP="00D33963">
      <w:pPr>
        <w:pStyle w:val="Prrafodelista"/>
        <w:numPr>
          <w:ilvl w:val="0"/>
          <w:numId w:val="2"/>
        </w:numPr>
        <w:jc w:val="both"/>
        <w:rPr>
          <w:rFonts w:ascii="Arial" w:hAnsi="Arial" w:cs="Arial"/>
          <w:sz w:val="20"/>
          <w:szCs w:val="20"/>
        </w:rPr>
      </w:pPr>
      <w:r w:rsidRPr="00175D33">
        <w:rPr>
          <w:rFonts w:ascii="Arial" w:hAnsi="Arial" w:cs="Arial"/>
          <w:sz w:val="20"/>
          <w:szCs w:val="20"/>
        </w:rPr>
        <w:t>Retenedor por los pagos efectuados por servicios personales independientes conforme al artículo 9, 13 y 16 de la Ley de Hacienda para el Estado de Guanajuato.</w:t>
      </w:r>
    </w:p>
    <w:p w:rsidR="007D1E76" w:rsidRDefault="00D33963" w:rsidP="00D33963">
      <w:pPr>
        <w:tabs>
          <w:tab w:val="left" w:leader="underscore" w:pos="9639"/>
        </w:tabs>
        <w:spacing w:after="0" w:line="240" w:lineRule="auto"/>
        <w:jc w:val="both"/>
        <w:rPr>
          <w:rFonts w:ascii="Arial" w:hAnsi="Arial" w:cs="Arial"/>
          <w:sz w:val="20"/>
          <w:szCs w:val="20"/>
        </w:rPr>
      </w:pPr>
      <w:r w:rsidRPr="00175D33">
        <w:rPr>
          <w:rFonts w:ascii="Arial" w:hAnsi="Arial" w:cs="Arial"/>
          <w:sz w:val="20"/>
          <w:szCs w:val="20"/>
        </w:rPr>
        <w:t>Retenedor por los pagos efectuados por arrendamiento conforme al artículo 9, 19 y 21 de la Ley de Hacienda para el Estado de Guanajuato.</w:t>
      </w:r>
    </w:p>
    <w:p w:rsidR="00D33963" w:rsidRDefault="00D33963" w:rsidP="00D33963">
      <w:pPr>
        <w:tabs>
          <w:tab w:val="left" w:leader="underscore" w:pos="9639"/>
        </w:tabs>
        <w:spacing w:after="0" w:line="240" w:lineRule="auto"/>
        <w:jc w:val="both"/>
        <w:rPr>
          <w:rFonts w:ascii="Arial" w:hAnsi="Arial" w:cs="Arial"/>
          <w:sz w:val="20"/>
          <w:szCs w:val="20"/>
        </w:rPr>
      </w:pPr>
    </w:p>
    <w:p w:rsidR="00D33963" w:rsidRPr="00E74967" w:rsidRDefault="00D33963" w:rsidP="00D33963">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D33963" w:rsidRDefault="00D33963" w:rsidP="00D33963">
      <w:pPr>
        <w:ind w:firstLine="708"/>
        <w:jc w:val="both"/>
        <w:rPr>
          <w:rFonts w:cs="Calibri"/>
        </w:rPr>
      </w:pPr>
    </w:p>
    <w:p w:rsidR="00D33963" w:rsidRPr="00175D33" w:rsidRDefault="00D33963" w:rsidP="00D33963">
      <w:pPr>
        <w:ind w:firstLine="708"/>
        <w:jc w:val="both"/>
        <w:rPr>
          <w:rFonts w:ascii="Arial" w:hAnsi="Arial" w:cs="Arial"/>
          <w:sz w:val="20"/>
          <w:szCs w:val="20"/>
        </w:rPr>
      </w:pPr>
      <w:r w:rsidRPr="00175D33">
        <w:rPr>
          <w:rFonts w:ascii="Arial" w:hAnsi="Arial" w:cs="Arial"/>
          <w:sz w:val="20"/>
          <w:szCs w:val="20"/>
        </w:rPr>
        <w:t>Estructura Presupuestal:</w:t>
      </w:r>
    </w:p>
    <w:tbl>
      <w:tblPr>
        <w:tblW w:w="0" w:type="auto"/>
        <w:jc w:val="center"/>
        <w:tblLook w:val="04A0" w:firstRow="1" w:lastRow="0" w:firstColumn="1" w:lastColumn="0" w:noHBand="0" w:noVBand="1"/>
      </w:tblPr>
      <w:tblGrid>
        <w:gridCol w:w="328"/>
        <w:gridCol w:w="2851"/>
      </w:tblGrid>
      <w:tr w:rsidR="00D33963" w:rsidRPr="00D04A31" w:rsidTr="002031DE">
        <w:trPr>
          <w:trHeight w:val="255"/>
          <w:jc w:val="center"/>
        </w:trPr>
        <w:tc>
          <w:tcPr>
            <w:tcW w:w="0" w:type="auto"/>
            <w:shd w:val="clear" w:color="auto" w:fill="auto"/>
            <w:noWrap/>
            <w:vAlign w:val="center"/>
            <w:hideMark/>
          </w:tcPr>
          <w:p w:rsidR="00D33963" w:rsidRPr="00D04A31" w:rsidRDefault="00D33963" w:rsidP="002031DE">
            <w:pPr>
              <w:rPr>
                <w:rFonts w:ascii="Arial" w:eastAsia="Times New Roman" w:hAnsi="Arial" w:cs="Arial"/>
                <w:bCs/>
                <w:color w:val="000000"/>
                <w:sz w:val="20"/>
                <w:szCs w:val="20"/>
                <w:lang w:val="es-ES" w:eastAsia="es-ES"/>
              </w:rPr>
            </w:pPr>
            <w:r w:rsidRPr="00D04A31">
              <w:rPr>
                <w:rFonts w:ascii="Arial" w:eastAsia="Times New Roman" w:hAnsi="Arial" w:cs="Arial"/>
                <w:bCs/>
                <w:color w:val="000000"/>
                <w:sz w:val="20"/>
                <w:szCs w:val="20"/>
                <w:lang w:val="es-ES" w:eastAsia="es-ES"/>
              </w:rPr>
              <w:t>1</w:t>
            </w:r>
          </w:p>
        </w:tc>
        <w:tc>
          <w:tcPr>
            <w:tcW w:w="0" w:type="auto"/>
            <w:shd w:val="clear" w:color="auto" w:fill="auto"/>
            <w:noWrap/>
            <w:vAlign w:val="center"/>
            <w:hideMark/>
          </w:tcPr>
          <w:p w:rsidR="00D33963" w:rsidRPr="00D04A31" w:rsidRDefault="00D33963" w:rsidP="002031DE">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Administración y Contabilidad</w:t>
            </w:r>
          </w:p>
        </w:tc>
      </w:tr>
      <w:tr w:rsidR="00D33963" w:rsidRPr="00D04A31" w:rsidTr="002031DE">
        <w:trPr>
          <w:trHeight w:val="255"/>
          <w:jc w:val="center"/>
        </w:trPr>
        <w:tc>
          <w:tcPr>
            <w:tcW w:w="0" w:type="auto"/>
            <w:shd w:val="clear" w:color="auto" w:fill="auto"/>
            <w:noWrap/>
            <w:vAlign w:val="center"/>
            <w:hideMark/>
          </w:tcPr>
          <w:p w:rsidR="00D33963" w:rsidRPr="00D04A31" w:rsidRDefault="00D33963" w:rsidP="002031DE">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w:t>
            </w:r>
          </w:p>
        </w:tc>
        <w:tc>
          <w:tcPr>
            <w:tcW w:w="0" w:type="auto"/>
            <w:shd w:val="clear" w:color="auto" w:fill="auto"/>
            <w:noWrap/>
            <w:vAlign w:val="center"/>
            <w:hideMark/>
          </w:tcPr>
          <w:p w:rsidR="00D33963" w:rsidRPr="00D04A31" w:rsidRDefault="00D33963" w:rsidP="002031DE">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Mantenimiento y Operativo</w:t>
            </w:r>
          </w:p>
        </w:tc>
      </w:tr>
      <w:tr w:rsidR="00D33963" w:rsidRPr="00D04A31" w:rsidTr="002031DE">
        <w:trPr>
          <w:trHeight w:val="255"/>
          <w:jc w:val="center"/>
        </w:trPr>
        <w:tc>
          <w:tcPr>
            <w:tcW w:w="0" w:type="auto"/>
            <w:shd w:val="clear" w:color="auto" w:fill="auto"/>
            <w:noWrap/>
            <w:vAlign w:val="center"/>
            <w:hideMark/>
          </w:tcPr>
          <w:p w:rsidR="00D33963" w:rsidRPr="00D04A31" w:rsidRDefault="00D33963" w:rsidP="002031DE">
            <w:pPr>
              <w:rPr>
                <w:rFonts w:ascii="Arial" w:eastAsia="Times New Roman" w:hAnsi="Arial" w:cs="Arial"/>
                <w:bCs/>
                <w:color w:val="000000"/>
                <w:sz w:val="20"/>
                <w:szCs w:val="20"/>
                <w:lang w:val="es-ES" w:eastAsia="es-ES"/>
              </w:rPr>
            </w:pPr>
            <w:r w:rsidRPr="00D04A31">
              <w:rPr>
                <w:rFonts w:ascii="Arial" w:eastAsia="Times New Roman" w:hAnsi="Arial" w:cs="Arial"/>
                <w:bCs/>
                <w:color w:val="000000"/>
                <w:sz w:val="20"/>
                <w:szCs w:val="20"/>
                <w:lang w:val="es-ES" w:eastAsia="es-ES"/>
              </w:rPr>
              <w:t>3</w:t>
            </w:r>
          </w:p>
        </w:tc>
        <w:tc>
          <w:tcPr>
            <w:tcW w:w="0" w:type="auto"/>
            <w:shd w:val="clear" w:color="auto" w:fill="auto"/>
            <w:noWrap/>
            <w:vAlign w:val="center"/>
            <w:hideMark/>
          </w:tcPr>
          <w:p w:rsidR="00D33963" w:rsidRPr="00D04A31" w:rsidRDefault="00D33963" w:rsidP="002031DE">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Saneamiento</w:t>
            </w:r>
          </w:p>
        </w:tc>
      </w:tr>
    </w:tbl>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D33963" w:rsidRPr="00175D33" w:rsidRDefault="00D33963" w:rsidP="00A62400">
      <w:pPr>
        <w:ind w:firstLine="709"/>
        <w:jc w:val="both"/>
        <w:rPr>
          <w:rFonts w:ascii="Arial" w:hAnsi="Arial" w:cs="Arial"/>
          <w:sz w:val="20"/>
          <w:szCs w:val="20"/>
        </w:rPr>
      </w:pPr>
      <w:r>
        <w:rPr>
          <w:rFonts w:ascii="Arial" w:hAnsi="Arial" w:cs="Arial"/>
          <w:sz w:val="20"/>
          <w:szCs w:val="20"/>
        </w:rPr>
        <w:t>No se tienen Fideicomisos</w:t>
      </w:r>
    </w:p>
    <w:p w:rsidR="00CB41C4" w:rsidRPr="00E74967" w:rsidRDefault="00CB41C4" w:rsidP="00CB41C4">
      <w:pPr>
        <w:tabs>
          <w:tab w:val="left" w:leader="underscore" w:pos="9639"/>
        </w:tabs>
        <w:spacing w:after="0" w:line="240" w:lineRule="auto"/>
        <w:jc w:val="both"/>
        <w:rPr>
          <w:rFonts w:cs="Calibri"/>
        </w:rPr>
      </w:pPr>
    </w:p>
    <w:p w:rsidR="007D1E76" w:rsidRPr="000C3365" w:rsidRDefault="002F57CC" w:rsidP="000C3365">
      <w:pPr>
        <w:pStyle w:val="Ttulo2"/>
        <w:rPr>
          <w:rFonts w:asciiTheme="minorHAnsi" w:hAnsiTheme="minorHAnsi" w:cstheme="minorHAnsi"/>
          <w:b/>
          <w:color w:val="auto"/>
          <w:sz w:val="22"/>
        </w:rPr>
      </w:pPr>
      <w:bookmarkStart w:id="4" w:name="_Toc508279625"/>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D33963" w:rsidRPr="00175D33" w:rsidRDefault="00D33963" w:rsidP="00D33963">
      <w:pPr>
        <w:numPr>
          <w:ilvl w:val="0"/>
          <w:numId w:val="5"/>
        </w:numPr>
        <w:jc w:val="both"/>
        <w:rPr>
          <w:rFonts w:ascii="Arial" w:hAnsi="Arial" w:cs="Arial"/>
          <w:sz w:val="20"/>
          <w:szCs w:val="20"/>
        </w:rPr>
      </w:pPr>
      <w:r w:rsidRPr="00175D33">
        <w:rPr>
          <w:rFonts w:ascii="Arial" w:hAnsi="Arial" w:cs="Arial"/>
          <w:sz w:val="20"/>
          <w:szCs w:val="20"/>
        </w:rPr>
        <w:t>Se ha observado toda la normatividad emitida por el CONAC</w:t>
      </w:r>
    </w:p>
    <w:p w:rsidR="00D33963" w:rsidRPr="00175D33" w:rsidRDefault="00D33963" w:rsidP="00D33963">
      <w:pPr>
        <w:numPr>
          <w:ilvl w:val="0"/>
          <w:numId w:val="5"/>
        </w:numPr>
        <w:jc w:val="both"/>
        <w:rPr>
          <w:rFonts w:ascii="Arial" w:hAnsi="Arial" w:cs="Arial"/>
          <w:sz w:val="20"/>
          <w:szCs w:val="20"/>
        </w:rPr>
      </w:pPr>
      <w:r w:rsidRPr="00175D33">
        <w:rPr>
          <w:rFonts w:ascii="Arial" w:hAnsi="Arial" w:cs="Arial"/>
          <w:sz w:val="20"/>
          <w:szCs w:val="20"/>
        </w:rPr>
        <w:t>La Ley de Ingreso</w:t>
      </w:r>
      <w:r>
        <w:rPr>
          <w:rFonts w:ascii="Arial" w:hAnsi="Arial" w:cs="Arial"/>
          <w:sz w:val="20"/>
          <w:szCs w:val="20"/>
        </w:rPr>
        <w:t>s para el M</w:t>
      </w:r>
      <w:r w:rsidR="004E0D59">
        <w:rPr>
          <w:rFonts w:ascii="Arial" w:hAnsi="Arial" w:cs="Arial"/>
          <w:sz w:val="20"/>
          <w:szCs w:val="20"/>
        </w:rPr>
        <w:t>unicipio de Tarimoro, Gto., 202</w:t>
      </w:r>
      <w:r w:rsidR="00A62400">
        <w:rPr>
          <w:rFonts w:ascii="Arial" w:hAnsi="Arial" w:cs="Arial"/>
          <w:sz w:val="20"/>
          <w:szCs w:val="20"/>
        </w:rPr>
        <w:t>4</w:t>
      </w:r>
    </w:p>
    <w:p w:rsidR="00D33963" w:rsidRPr="00175D33" w:rsidRDefault="00D33963" w:rsidP="00D33963">
      <w:pPr>
        <w:numPr>
          <w:ilvl w:val="0"/>
          <w:numId w:val="5"/>
        </w:numPr>
        <w:jc w:val="both"/>
        <w:rPr>
          <w:rFonts w:ascii="Arial" w:hAnsi="Arial" w:cs="Arial"/>
          <w:sz w:val="20"/>
          <w:szCs w:val="20"/>
        </w:rPr>
      </w:pPr>
      <w:r w:rsidRPr="00175D33">
        <w:rPr>
          <w:rFonts w:ascii="Arial" w:hAnsi="Arial" w:cs="Arial"/>
          <w:sz w:val="20"/>
          <w:szCs w:val="20"/>
        </w:rPr>
        <w:t>La Ley de Hacienda para los Municipios del Estado de  Guanajuato</w:t>
      </w:r>
    </w:p>
    <w:p w:rsidR="00D33963" w:rsidRPr="00175D33" w:rsidRDefault="00D33963" w:rsidP="00D33963">
      <w:pPr>
        <w:numPr>
          <w:ilvl w:val="0"/>
          <w:numId w:val="5"/>
        </w:numPr>
        <w:jc w:val="both"/>
        <w:rPr>
          <w:rFonts w:ascii="Arial" w:hAnsi="Arial" w:cs="Arial"/>
          <w:sz w:val="20"/>
          <w:szCs w:val="20"/>
        </w:rPr>
      </w:pPr>
      <w:r w:rsidRPr="00175D33">
        <w:rPr>
          <w:rFonts w:ascii="Arial" w:hAnsi="Arial" w:cs="Arial"/>
          <w:sz w:val="20"/>
          <w:szCs w:val="20"/>
        </w:rPr>
        <w:t>La Ley Orgánica Municipal para el Estado de Guanajuato</w:t>
      </w:r>
    </w:p>
    <w:p w:rsidR="00D33963" w:rsidRPr="00175D33" w:rsidRDefault="00D33963" w:rsidP="00D33963">
      <w:pPr>
        <w:numPr>
          <w:ilvl w:val="0"/>
          <w:numId w:val="5"/>
        </w:numPr>
        <w:jc w:val="both"/>
        <w:rPr>
          <w:rFonts w:ascii="Arial" w:hAnsi="Arial" w:cs="Arial"/>
          <w:sz w:val="20"/>
          <w:szCs w:val="20"/>
        </w:rPr>
      </w:pPr>
      <w:r w:rsidRPr="00175D33">
        <w:rPr>
          <w:rFonts w:ascii="Arial" w:hAnsi="Arial" w:cs="Arial"/>
          <w:sz w:val="20"/>
          <w:szCs w:val="20"/>
        </w:rPr>
        <w:t>Ley para el Ejercicio y Control de los Recursos Públicos del Estado de Municipio de Guanajuato</w:t>
      </w:r>
    </w:p>
    <w:p w:rsidR="00D33963" w:rsidRDefault="00D33963" w:rsidP="00D33963">
      <w:pPr>
        <w:numPr>
          <w:ilvl w:val="0"/>
          <w:numId w:val="5"/>
        </w:numPr>
        <w:jc w:val="both"/>
        <w:rPr>
          <w:rFonts w:ascii="Arial" w:hAnsi="Arial" w:cs="Arial"/>
          <w:sz w:val="20"/>
          <w:szCs w:val="20"/>
        </w:rPr>
      </w:pPr>
      <w:r w:rsidRPr="00175D33">
        <w:rPr>
          <w:rFonts w:ascii="Arial" w:hAnsi="Arial" w:cs="Arial"/>
          <w:sz w:val="20"/>
          <w:szCs w:val="20"/>
        </w:rPr>
        <w:t>Ley de Fiscalización Superior del Estado de Guanajuato</w:t>
      </w:r>
    </w:p>
    <w:p w:rsidR="0010393C" w:rsidRDefault="0010393C" w:rsidP="00D33963">
      <w:pPr>
        <w:numPr>
          <w:ilvl w:val="0"/>
          <w:numId w:val="5"/>
        </w:numPr>
        <w:jc w:val="both"/>
        <w:rPr>
          <w:rFonts w:ascii="Arial" w:hAnsi="Arial" w:cs="Arial"/>
          <w:sz w:val="20"/>
          <w:szCs w:val="20"/>
        </w:rPr>
      </w:pPr>
      <w:r>
        <w:rPr>
          <w:rFonts w:ascii="Arial" w:hAnsi="Arial" w:cs="Arial"/>
          <w:sz w:val="20"/>
          <w:szCs w:val="20"/>
        </w:rPr>
        <w:t>Ley de Disciplina Financiera</w:t>
      </w:r>
    </w:p>
    <w:p w:rsidR="007D1E76" w:rsidRPr="00D33963" w:rsidRDefault="00D33963" w:rsidP="00D33963">
      <w:pPr>
        <w:numPr>
          <w:ilvl w:val="0"/>
          <w:numId w:val="5"/>
        </w:numPr>
        <w:jc w:val="both"/>
        <w:rPr>
          <w:rFonts w:ascii="Arial" w:hAnsi="Arial" w:cs="Arial"/>
          <w:sz w:val="20"/>
          <w:szCs w:val="20"/>
        </w:rPr>
      </w:pPr>
      <w:r w:rsidRPr="00D33963">
        <w:rPr>
          <w:rFonts w:ascii="Arial" w:hAnsi="Arial" w:cs="Arial"/>
          <w:sz w:val="20"/>
          <w:szCs w:val="20"/>
        </w:rPr>
        <w:t>Otras Disposiciones aplicables a todos los Municipios de Guanajuato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D33963" w:rsidRDefault="00D33963" w:rsidP="00D33963">
      <w:pPr>
        <w:ind w:firstLine="709"/>
        <w:jc w:val="both"/>
        <w:rPr>
          <w:rFonts w:ascii="Arial" w:hAnsi="Arial" w:cs="Arial"/>
          <w:sz w:val="20"/>
          <w:szCs w:val="20"/>
        </w:rPr>
      </w:pPr>
    </w:p>
    <w:p w:rsidR="00D33963" w:rsidRPr="00E302EF" w:rsidRDefault="00D33963" w:rsidP="00D33963">
      <w:pPr>
        <w:ind w:firstLine="709"/>
        <w:jc w:val="both"/>
        <w:rPr>
          <w:rFonts w:ascii="Arial" w:hAnsi="Arial" w:cs="Arial"/>
          <w:sz w:val="20"/>
          <w:szCs w:val="20"/>
        </w:rPr>
      </w:pPr>
      <w:r w:rsidRPr="00175D33">
        <w:rPr>
          <w:rFonts w:ascii="Arial" w:hAnsi="Arial" w:cs="Arial"/>
          <w:sz w:val="20"/>
          <w:szCs w:val="20"/>
        </w:rPr>
        <w:t>El total de las operaciones están reconocidas a su Costo Histórico</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D33963" w:rsidRPr="00E74967" w:rsidRDefault="00D33963" w:rsidP="00CB41C4">
      <w:pPr>
        <w:tabs>
          <w:tab w:val="left" w:leader="underscore" w:pos="9639"/>
        </w:tabs>
        <w:spacing w:after="0" w:line="240" w:lineRule="auto"/>
        <w:jc w:val="both"/>
        <w:rPr>
          <w:rFonts w:cs="Calibri"/>
        </w:rPr>
      </w:pPr>
    </w:p>
    <w:p w:rsidR="00D33963" w:rsidRPr="00175D33" w:rsidRDefault="00D33963" w:rsidP="00D33963">
      <w:pPr>
        <w:ind w:firstLine="709"/>
        <w:jc w:val="both"/>
        <w:rPr>
          <w:rFonts w:ascii="Arial" w:hAnsi="Arial" w:cs="Arial"/>
          <w:sz w:val="20"/>
          <w:szCs w:val="20"/>
        </w:rPr>
      </w:pPr>
      <w:r w:rsidRPr="00175D33">
        <w:rPr>
          <w:rFonts w:ascii="Arial" w:hAnsi="Arial" w:cs="Arial"/>
          <w:sz w:val="20"/>
          <w:szCs w:val="20"/>
        </w:rPr>
        <w:t>Los Emitidos por el CONAC:</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1. Sustancia Económica</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2. Entes Públicos</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3. Existencia Permanente</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4. Revelación Suficiente</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5. Importancia Relativa</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6. Registro e Integración Presupuestaria</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7. Consolidación de la Información Financiera</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8. Devengo Contable</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lastRenderedPageBreak/>
        <w:t>9. Valuación</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10. Dualidad Económica</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11. Consistencia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D33963" w:rsidRDefault="00D33963" w:rsidP="00D33963">
      <w:pPr>
        <w:ind w:left="709"/>
        <w:jc w:val="both"/>
        <w:rPr>
          <w:rFonts w:ascii="Arial" w:hAnsi="Arial" w:cs="Arial"/>
          <w:sz w:val="20"/>
          <w:szCs w:val="20"/>
        </w:rPr>
      </w:pPr>
    </w:p>
    <w:p w:rsidR="00D33963" w:rsidRPr="00175D33" w:rsidRDefault="00D33963" w:rsidP="00D33963">
      <w:pPr>
        <w:ind w:left="709"/>
        <w:jc w:val="both"/>
        <w:rPr>
          <w:rFonts w:ascii="Arial" w:hAnsi="Arial" w:cs="Arial"/>
          <w:sz w:val="20"/>
          <w:szCs w:val="20"/>
        </w:rPr>
      </w:pPr>
      <w:r w:rsidRPr="00175D33">
        <w:rPr>
          <w:rFonts w:ascii="Arial" w:hAnsi="Arial" w:cs="Arial"/>
          <w:sz w:val="20"/>
          <w:szCs w:val="20"/>
        </w:rPr>
        <w:t>Las permitidas por la Normatividad del CONAC:</w:t>
      </w:r>
    </w:p>
    <w:p w:rsidR="00D33963" w:rsidRPr="00175D33" w:rsidRDefault="00D33963" w:rsidP="00D33963">
      <w:pPr>
        <w:numPr>
          <w:ilvl w:val="0"/>
          <w:numId w:val="6"/>
        </w:numPr>
        <w:jc w:val="both"/>
        <w:rPr>
          <w:rFonts w:ascii="Arial" w:hAnsi="Arial" w:cs="Arial"/>
          <w:sz w:val="20"/>
          <w:szCs w:val="20"/>
        </w:rPr>
      </w:pPr>
      <w:r w:rsidRPr="00175D33">
        <w:rPr>
          <w:rFonts w:ascii="Arial" w:hAnsi="Arial" w:cs="Arial"/>
          <w:sz w:val="20"/>
          <w:szCs w:val="20"/>
        </w:rPr>
        <w:t xml:space="preserve">Aplicación personalizada del Cuarto Nivel </w:t>
      </w:r>
      <w:r>
        <w:rPr>
          <w:rFonts w:ascii="Arial" w:hAnsi="Arial" w:cs="Arial"/>
          <w:sz w:val="20"/>
          <w:szCs w:val="20"/>
        </w:rPr>
        <w:t xml:space="preserve">permitido </w:t>
      </w:r>
      <w:r w:rsidRPr="00175D33">
        <w:rPr>
          <w:rFonts w:ascii="Arial" w:hAnsi="Arial" w:cs="Arial"/>
          <w:sz w:val="20"/>
          <w:szCs w:val="20"/>
        </w:rPr>
        <w:t>de</w:t>
      </w:r>
      <w:r>
        <w:rPr>
          <w:rFonts w:ascii="Arial" w:hAnsi="Arial" w:cs="Arial"/>
          <w:sz w:val="20"/>
          <w:szCs w:val="20"/>
        </w:rPr>
        <w:t>l</w:t>
      </w:r>
      <w:r w:rsidRPr="00175D33">
        <w:rPr>
          <w:rFonts w:ascii="Arial" w:hAnsi="Arial" w:cs="Arial"/>
          <w:sz w:val="20"/>
          <w:szCs w:val="20"/>
        </w:rPr>
        <w:t xml:space="preserve"> COG</w:t>
      </w:r>
    </w:p>
    <w:p w:rsidR="00D33963" w:rsidRPr="00175D33" w:rsidRDefault="00D33963" w:rsidP="00D33963">
      <w:pPr>
        <w:numPr>
          <w:ilvl w:val="0"/>
          <w:numId w:val="6"/>
        </w:numPr>
        <w:jc w:val="both"/>
        <w:rPr>
          <w:rFonts w:ascii="Arial" w:hAnsi="Arial" w:cs="Arial"/>
          <w:sz w:val="20"/>
          <w:szCs w:val="20"/>
        </w:rPr>
      </w:pPr>
      <w:r w:rsidRPr="00175D33">
        <w:rPr>
          <w:rFonts w:ascii="Arial" w:hAnsi="Arial" w:cs="Arial"/>
          <w:sz w:val="20"/>
          <w:szCs w:val="20"/>
        </w:rPr>
        <w:t>Aplicación personalidad del Tercer y Cuarto Nivel</w:t>
      </w:r>
      <w:r>
        <w:rPr>
          <w:rFonts w:ascii="Arial" w:hAnsi="Arial" w:cs="Arial"/>
          <w:sz w:val="20"/>
          <w:szCs w:val="20"/>
        </w:rPr>
        <w:t xml:space="preserve"> permitido</w:t>
      </w:r>
      <w:r w:rsidRPr="00175D33">
        <w:rPr>
          <w:rFonts w:ascii="Arial" w:hAnsi="Arial" w:cs="Arial"/>
          <w:sz w:val="20"/>
          <w:szCs w:val="20"/>
        </w:rPr>
        <w:t xml:space="preserve"> del CRI</w:t>
      </w:r>
    </w:p>
    <w:p w:rsidR="00D33963" w:rsidRPr="00175D33" w:rsidRDefault="00D33963" w:rsidP="00D33963">
      <w:pPr>
        <w:numPr>
          <w:ilvl w:val="0"/>
          <w:numId w:val="6"/>
        </w:numPr>
        <w:jc w:val="both"/>
        <w:rPr>
          <w:rFonts w:ascii="Arial" w:hAnsi="Arial" w:cs="Arial"/>
          <w:sz w:val="20"/>
          <w:szCs w:val="20"/>
        </w:rPr>
      </w:pPr>
      <w:r w:rsidRPr="00175D33">
        <w:rPr>
          <w:rFonts w:ascii="Arial" w:hAnsi="Arial" w:cs="Arial"/>
          <w:sz w:val="20"/>
          <w:szCs w:val="20"/>
        </w:rPr>
        <w:t>Aplicación Personalizada del Quinto Nivel  permitido del Plan de Cuentas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2031DE" w:rsidRPr="00E74967" w:rsidRDefault="002031DE" w:rsidP="00CB41C4">
      <w:pPr>
        <w:tabs>
          <w:tab w:val="left" w:leader="underscore" w:pos="9639"/>
        </w:tabs>
        <w:spacing w:after="0" w:line="240" w:lineRule="auto"/>
        <w:jc w:val="both"/>
        <w:rPr>
          <w:rFonts w:cs="Calibri"/>
        </w:rPr>
      </w:pPr>
    </w:p>
    <w:p w:rsidR="00D33963" w:rsidRPr="00175D33" w:rsidRDefault="0010393C" w:rsidP="00D33963">
      <w:pPr>
        <w:ind w:firstLine="709"/>
        <w:jc w:val="both"/>
        <w:rPr>
          <w:rFonts w:ascii="Arial" w:hAnsi="Arial" w:cs="Arial"/>
          <w:sz w:val="20"/>
          <w:szCs w:val="20"/>
        </w:rPr>
      </w:pPr>
      <w:r>
        <w:rPr>
          <w:rFonts w:ascii="Arial" w:hAnsi="Arial" w:cs="Arial"/>
          <w:sz w:val="20"/>
          <w:szCs w:val="20"/>
        </w:rPr>
        <w:t>De a</w:t>
      </w:r>
      <w:r w:rsidR="00D33963" w:rsidRPr="00175D33">
        <w:rPr>
          <w:rFonts w:ascii="Arial" w:hAnsi="Arial" w:cs="Arial"/>
          <w:sz w:val="20"/>
          <w:szCs w:val="20"/>
        </w:rPr>
        <w:t>cuerdo a lo establecido por el CONAC.</w:t>
      </w:r>
    </w:p>
    <w:p w:rsidR="00D33963" w:rsidRPr="008F48DF" w:rsidRDefault="00D33963" w:rsidP="00D33963">
      <w:pPr>
        <w:ind w:firstLine="709"/>
        <w:jc w:val="both"/>
        <w:rPr>
          <w:rFonts w:ascii="Arial" w:hAnsi="Arial" w:cs="Arial"/>
          <w:b/>
          <w:sz w:val="20"/>
          <w:szCs w:val="20"/>
        </w:rPr>
      </w:pPr>
      <w:r w:rsidRPr="008F48DF">
        <w:rPr>
          <w:rFonts w:ascii="Arial" w:hAnsi="Arial" w:cs="Arial"/>
          <w:b/>
          <w:sz w:val="20"/>
          <w:szCs w:val="20"/>
        </w:rPr>
        <w:t>INGRESOS</w:t>
      </w:r>
    </w:p>
    <w:p w:rsidR="00D33963" w:rsidRPr="00175D33" w:rsidRDefault="00D33963" w:rsidP="00D33963">
      <w:pPr>
        <w:ind w:firstLine="709"/>
        <w:jc w:val="both"/>
        <w:rPr>
          <w:rFonts w:ascii="Arial" w:hAnsi="Arial" w:cs="Arial"/>
          <w:sz w:val="20"/>
          <w:szCs w:val="20"/>
        </w:rPr>
      </w:pPr>
      <w:r w:rsidRPr="00E302EF">
        <w:rPr>
          <w:rFonts w:ascii="Arial" w:hAnsi="Arial" w:cs="Arial"/>
          <w:sz w:val="20"/>
          <w:szCs w:val="20"/>
          <w:u w:val="single"/>
        </w:rPr>
        <w:t>Devengado</w:t>
      </w:r>
      <w:r w:rsidRPr="00175D33">
        <w:rPr>
          <w:rFonts w:ascii="Arial" w:hAnsi="Arial" w:cs="Arial"/>
          <w:sz w:val="20"/>
          <w:szCs w:val="20"/>
        </w:rPr>
        <w:t>.- Cuando exista jurídicamente el derecho al cobro.</w:t>
      </w:r>
    </w:p>
    <w:p w:rsidR="00D33963" w:rsidRDefault="00D33963" w:rsidP="00D33963">
      <w:pPr>
        <w:ind w:firstLine="709"/>
        <w:jc w:val="both"/>
        <w:rPr>
          <w:rFonts w:ascii="Arial" w:hAnsi="Arial" w:cs="Arial"/>
          <w:sz w:val="20"/>
          <w:szCs w:val="20"/>
        </w:rPr>
      </w:pPr>
      <w:r w:rsidRPr="00E302EF">
        <w:rPr>
          <w:rFonts w:ascii="Arial" w:hAnsi="Arial" w:cs="Arial"/>
          <w:sz w:val="20"/>
          <w:szCs w:val="20"/>
          <w:u w:val="single"/>
        </w:rPr>
        <w:t>Recaudado</w:t>
      </w:r>
      <w:r w:rsidRPr="00175D33">
        <w:rPr>
          <w:rFonts w:ascii="Arial" w:hAnsi="Arial" w:cs="Arial"/>
          <w:sz w:val="20"/>
          <w:szCs w:val="20"/>
        </w:rPr>
        <w:t>.- Cuando existe el cobro en efectivo o cualquier otro medio de pago</w:t>
      </w:r>
    </w:p>
    <w:p w:rsidR="00D33963" w:rsidRPr="00175D33" w:rsidRDefault="00D33963" w:rsidP="00D33963">
      <w:pPr>
        <w:ind w:firstLine="709"/>
        <w:jc w:val="both"/>
        <w:rPr>
          <w:rFonts w:ascii="Arial" w:hAnsi="Arial" w:cs="Arial"/>
          <w:sz w:val="20"/>
          <w:szCs w:val="20"/>
        </w:rPr>
      </w:pPr>
      <w:r w:rsidRPr="00175D33">
        <w:rPr>
          <w:rFonts w:ascii="Arial" w:hAnsi="Arial" w:cs="Arial"/>
          <w:sz w:val="20"/>
          <w:szCs w:val="20"/>
        </w:rPr>
        <w:t xml:space="preserve"> </w:t>
      </w:r>
    </w:p>
    <w:p w:rsidR="00D33963" w:rsidRPr="008F48DF" w:rsidRDefault="00D33963" w:rsidP="00D33963">
      <w:pPr>
        <w:ind w:firstLine="705"/>
        <w:jc w:val="both"/>
        <w:rPr>
          <w:rFonts w:ascii="Arial" w:hAnsi="Arial" w:cs="Arial"/>
          <w:b/>
          <w:sz w:val="20"/>
          <w:szCs w:val="20"/>
        </w:rPr>
      </w:pPr>
      <w:r w:rsidRPr="008F48DF">
        <w:rPr>
          <w:rFonts w:ascii="Arial" w:hAnsi="Arial" w:cs="Arial"/>
          <w:b/>
          <w:sz w:val="20"/>
          <w:szCs w:val="20"/>
        </w:rPr>
        <w:t>EGRESOS</w:t>
      </w:r>
    </w:p>
    <w:p w:rsidR="00D33963" w:rsidRPr="00175D33" w:rsidRDefault="00D33963" w:rsidP="00D33963">
      <w:pPr>
        <w:ind w:left="705"/>
        <w:jc w:val="both"/>
        <w:rPr>
          <w:rFonts w:ascii="Arial" w:hAnsi="Arial" w:cs="Arial"/>
          <w:sz w:val="20"/>
          <w:szCs w:val="20"/>
        </w:rPr>
      </w:pPr>
      <w:r w:rsidRPr="00E302EF">
        <w:rPr>
          <w:rFonts w:ascii="Arial" w:hAnsi="Arial" w:cs="Arial"/>
          <w:sz w:val="20"/>
          <w:szCs w:val="20"/>
          <w:u w:val="single"/>
        </w:rPr>
        <w:t>Comprometido</w:t>
      </w:r>
      <w:r w:rsidRPr="00175D33">
        <w:rPr>
          <w:rFonts w:ascii="Arial" w:hAnsi="Arial" w:cs="Arial"/>
          <w:sz w:val="20"/>
          <w:szCs w:val="20"/>
        </w:rPr>
        <w:t>.- Cuando se existe</w:t>
      </w:r>
      <w:r>
        <w:rPr>
          <w:rFonts w:ascii="Arial" w:hAnsi="Arial" w:cs="Arial"/>
          <w:sz w:val="20"/>
          <w:szCs w:val="20"/>
        </w:rPr>
        <w:t xml:space="preserve"> la </w:t>
      </w:r>
      <w:r w:rsidRPr="00175D33">
        <w:rPr>
          <w:rFonts w:ascii="Arial" w:hAnsi="Arial" w:cs="Arial"/>
          <w:sz w:val="20"/>
          <w:szCs w:val="20"/>
        </w:rPr>
        <w:t>aprobación por una autoridad competente de un acto administrativo, u otro instrumento jurídico que</w:t>
      </w:r>
      <w:r>
        <w:rPr>
          <w:rFonts w:ascii="Arial" w:hAnsi="Arial" w:cs="Arial"/>
          <w:sz w:val="20"/>
          <w:szCs w:val="20"/>
        </w:rPr>
        <w:t xml:space="preserve"> </w:t>
      </w:r>
      <w:r w:rsidRPr="00175D33">
        <w:rPr>
          <w:rFonts w:ascii="Arial" w:hAnsi="Arial" w:cs="Arial"/>
          <w:sz w:val="20"/>
          <w:szCs w:val="20"/>
        </w:rPr>
        <w:t>formaliza una relación jurídica con terceros para la adquisición de bienes  y servicios.</w:t>
      </w:r>
    </w:p>
    <w:p w:rsidR="00D33963" w:rsidRPr="00175D33" w:rsidRDefault="00D33963" w:rsidP="00D33963">
      <w:pPr>
        <w:ind w:left="705"/>
        <w:jc w:val="both"/>
        <w:rPr>
          <w:rFonts w:ascii="Arial" w:hAnsi="Arial" w:cs="Arial"/>
          <w:sz w:val="20"/>
          <w:szCs w:val="20"/>
        </w:rPr>
      </w:pPr>
      <w:r w:rsidRPr="00E302EF">
        <w:rPr>
          <w:rFonts w:ascii="Arial" w:hAnsi="Arial" w:cs="Arial"/>
          <w:sz w:val="20"/>
          <w:szCs w:val="20"/>
          <w:u w:val="single"/>
        </w:rPr>
        <w:t>Devengado</w:t>
      </w:r>
      <w:r w:rsidRPr="00175D33">
        <w:rPr>
          <w:rFonts w:ascii="Arial" w:hAnsi="Arial" w:cs="Arial"/>
          <w:sz w:val="20"/>
          <w:szCs w:val="20"/>
        </w:rPr>
        <w:t>.- Cuando se reconoce  de una obligación de pago a favor de terceros por la recepción de conformidad de bienes, servicios contratados.</w:t>
      </w:r>
    </w:p>
    <w:p w:rsidR="002031DE" w:rsidRDefault="00D33963" w:rsidP="002031DE">
      <w:pPr>
        <w:ind w:left="705"/>
        <w:jc w:val="both"/>
        <w:rPr>
          <w:rFonts w:ascii="Arial" w:hAnsi="Arial" w:cs="Arial"/>
          <w:sz w:val="20"/>
          <w:szCs w:val="20"/>
        </w:rPr>
      </w:pPr>
      <w:r w:rsidRPr="00E302EF">
        <w:rPr>
          <w:rFonts w:ascii="Arial" w:hAnsi="Arial" w:cs="Arial"/>
          <w:sz w:val="20"/>
          <w:szCs w:val="20"/>
          <w:u w:val="single"/>
        </w:rPr>
        <w:t>Ejercido</w:t>
      </w:r>
      <w:r>
        <w:rPr>
          <w:rFonts w:ascii="Arial" w:hAnsi="Arial" w:cs="Arial"/>
          <w:sz w:val="20"/>
          <w:szCs w:val="20"/>
        </w:rPr>
        <w:t>.- Cuando se emite una cue</w:t>
      </w:r>
      <w:r w:rsidRPr="00175D33">
        <w:rPr>
          <w:rFonts w:ascii="Arial" w:hAnsi="Arial" w:cs="Arial"/>
          <w:sz w:val="20"/>
          <w:szCs w:val="20"/>
        </w:rPr>
        <w:t>nta por liquidar aprobada por la autoridad competente</w:t>
      </w:r>
    </w:p>
    <w:p w:rsidR="007D1E76" w:rsidRPr="002031DE" w:rsidRDefault="00D33963" w:rsidP="002031DE">
      <w:pPr>
        <w:ind w:left="705"/>
        <w:jc w:val="both"/>
        <w:rPr>
          <w:rFonts w:ascii="Arial" w:hAnsi="Arial" w:cs="Arial"/>
          <w:sz w:val="20"/>
          <w:szCs w:val="20"/>
        </w:rPr>
      </w:pPr>
      <w:r w:rsidRPr="002031DE">
        <w:rPr>
          <w:rFonts w:ascii="Arial" w:hAnsi="Arial" w:cs="Arial"/>
          <w:sz w:val="20"/>
          <w:szCs w:val="20"/>
          <w:u w:val="single"/>
        </w:rPr>
        <w:t>Pagado.</w:t>
      </w:r>
      <w:r w:rsidRPr="002031DE">
        <w:rPr>
          <w:rFonts w:ascii="Arial" w:hAnsi="Arial" w:cs="Arial"/>
          <w:sz w:val="20"/>
          <w:szCs w:val="20"/>
        </w:rPr>
        <w:t>- Cuando se realiza la cancelación total o parcial de las obligaciones de pago.</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rsidR="002031DE" w:rsidRPr="00E74967" w:rsidRDefault="002031DE" w:rsidP="00CB41C4">
      <w:pPr>
        <w:tabs>
          <w:tab w:val="left" w:leader="underscore" w:pos="9639"/>
        </w:tabs>
        <w:spacing w:after="0" w:line="240" w:lineRule="auto"/>
        <w:jc w:val="both"/>
        <w:rPr>
          <w:rFonts w:cs="Calibri"/>
        </w:rPr>
      </w:pPr>
    </w:p>
    <w:p w:rsidR="007D1E76" w:rsidRPr="00E74967" w:rsidRDefault="002031DE" w:rsidP="00CB41C4">
      <w:pPr>
        <w:tabs>
          <w:tab w:val="left" w:leader="underscore" w:pos="9639"/>
        </w:tabs>
        <w:spacing w:after="0" w:line="240" w:lineRule="auto"/>
        <w:jc w:val="both"/>
        <w:rPr>
          <w:rFonts w:cs="Calibri"/>
        </w:rPr>
      </w:pPr>
      <w:r>
        <w:rPr>
          <w:rFonts w:ascii="Arial" w:hAnsi="Arial" w:cs="Arial"/>
          <w:sz w:val="20"/>
          <w:szCs w:val="20"/>
        </w:rPr>
        <w:t>Se inicia la implementación</w:t>
      </w:r>
      <w:r w:rsidRPr="00175D33">
        <w:rPr>
          <w:rFonts w:ascii="Arial" w:hAnsi="Arial" w:cs="Arial"/>
          <w:sz w:val="20"/>
          <w:szCs w:val="20"/>
        </w:rPr>
        <w:t xml:space="preserve"> en BASE DEVENGADO </w:t>
      </w:r>
      <w:r>
        <w:rPr>
          <w:rFonts w:ascii="Arial" w:hAnsi="Arial" w:cs="Arial"/>
          <w:sz w:val="20"/>
          <w:szCs w:val="20"/>
        </w:rPr>
        <w:t xml:space="preserve"> a partir de Enero 2012, para este caso se utilizó el Sistema Contable con que cuenta el Ente, en este caso </w:t>
      </w:r>
      <w:r w:rsidR="00E87734">
        <w:rPr>
          <w:rFonts w:ascii="Arial" w:hAnsi="Arial" w:cs="Arial"/>
          <w:b/>
          <w:sz w:val="20"/>
          <w:szCs w:val="20"/>
        </w:rPr>
        <w:t>ASPEL-COI 9</w:t>
      </w:r>
      <w:r w:rsidRPr="00CC0E72">
        <w:rPr>
          <w:rFonts w:ascii="Arial" w:hAnsi="Arial" w:cs="Arial"/>
          <w:b/>
          <w:sz w:val="20"/>
          <w:szCs w:val="20"/>
        </w:rPr>
        <w:t>.0</w:t>
      </w:r>
      <w:r>
        <w:rPr>
          <w:rFonts w:ascii="Arial" w:hAnsi="Arial" w:cs="Arial"/>
          <w:b/>
          <w:sz w:val="20"/>
          <w:szCs w:val="20"/>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2F57CC" w:rsidP="000C3365">
      <w:pPr>
        <w:pStyle w:val="Ttulo2"/>
        <w:rPr>
          <w:rFonts w:cs="Calibri"/>
          <w:b/>
        </w:rPr>
      </w:pPr>
      <w:bookmarkStart w:id="5" w:name="_Toc508279626"/>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2031DE" w:rsidRDefault="002031DE" w:rsidP="002031DE">
      <w:pPr>
        <w:ind w:left="709"/>
        <w:jc w:val="both"/>
        <w:rPr>
          <w:rFonts w:ascii="Arial" w:hAnsi="Arial" w:cs="Arial"/>
          <w:sz w:val="20"/>
          <w:szCs w:val="20"/>
        </w:rPr>
      </w:pPr>
    </w:p>
    <w:p w:rsidR="002031DE" w:rsidRPr="00175D33" w:rsidRDefault="002031DE" w:rsidP="002031DE">
      <w:pPr>
        <w:ind w:left="709"/>
        <w:jc w:val="both"/>
        <w:rPr>
          <w:rFonts w:ascii="Arial" w:hAnsi="Arial" w:cs="Arial"/>
          <w:sz w:val="20"/>
          <w:szCs w:val="20"/>
        </w:rPr>
      </w:pPr>
      <w:r w:rsidRPr="00175D33">
        <w:rPr>
          <w:rFonts w:ascii="Arial" w:hAnsi="Arial" w:cs="Arial"/>
          <w:sz w:val="20"/>
          <w:szCs w:val="20"/>
        </w:rPr>
        <w:t>A lo largo de la Historia de este Ente, no se ha utilizado  ningún Método  para la Actualización del Valor de los Activos, Pasivos y H</w:t>
      </w:r>
      <w:r>
        <w:rPr>
          <w:rFonts w:ascii="Arial" w:hAnsi="Arial" w:cs="Arial"/>
          <w:sz w:val="20"/>
          <w:szCs w:val="20"/>
        </w:rPr>
        <w:t>acienda Pública y/o Patrimonio.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2031DE" w:rsidRDefault="002031DE" w:rsidP="002031DE">
      <w:pPr>
        <w:ind w:left="709"/>
        <w:jc w:val="both"/>
        <w:rPr>
          <w:rFonts w:ascii="Arial" w:hAnsi="Arial" w:cs="Arial"/>
          <w:sz w:val="20"/>
          <w:szCs w:val="20"/>
        </w:rPr>
      </w:pPr>
    </w:p>
    <w:p w:rsidR="002031DE" w:rsidRPr="00175D33" w:rsidRDefault="00D906DD" w:rsidP="002031DE">
      <w:pPr>
        <w:ind w:left="709"/>
        <w:jc w:val="both"/>
        <w:rPr>
          <w:rFonts w:ascii="Arial" w:hAnsi="Arial" w:cs="Arial"/>
          <w:sz w:val="20"/>
          <w:szCs w:val="20"/>
        </w:rPr>
      </w:pPr>
      <w:r>
        <w:rPr>
          <w:rFonts w:ascii="Arial" w:hAnsi="Arial" w:cs="Arial"/>
          <w:sz w:val="20"/>
          <w:szCs w:val="20"/>
        </w:rPr>
        <w:t>Durante 202</w:t>
      </w:r>
      <w:r w:rsidR="00A62400">
        <w:rPr>
          <w:rFonts w:ascii="Arial" w:hAnsi="Arial" w:cs="Arial"/>
          <w:sz w:val="20"/>
          <w:szCs w:val="20"/>
        </w:rPr>
        <w:t>4</w:t>
      </w:r>
      <w:r w:rsidR="002031DE" w:rsidRPr="00175D33">
        <w:rPr>
          <w:rFonts w:ascii="Arial" w:hAnsi="Arial" w:cs="Arial"/>
          <w:sz w:val="20"/>
          <w:szCs w:val="20"/>
        </w:rPr>
        <w:t>, no se han realizado operaciones en Moneda Extranjera, y en todo caso si se realizara alguna, invariablemente el registro se realizará en su equivalente en Moneda Nacional al tipo de cambio del día de la operación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2031DE" w:rsidRDefault="002031DE" w:rsidP="002031DE">
      <w:pPr>
        <w:jc w:val="both"/>
        <w:rPr>
          <w:rFonts w:ascii="Arial" w:hAnsi="Arial" w:cs="Arial"/>
          <w:sz w:val="20"/>
          <w:szCs w:val="20"/>
        </w:rPr>
      </w:pPr>
    </w:p>
    <w:p w:rsidR="002031DE" w:rsidRPr="00175D33" w:rsidRDefault="002031DE" w:rsidP="002031DE">
      <w:pPr>
        <w:ind w:left="709"/>
        <w:jc w:val="both"/>
        <w:rPr>
          <w:rFonts w:ascii="Arial" w:hAnsi="Arial" w:cs="Arial"/>
          <w:sz w:val="20"/>
          <w:szCs w:val="20"/>
        </w:rPr>
      </w:pPr>
      <w:r w:rsidRPr="00175D33">
        <w:rPr>
          <w:rFonts w:ascii="Arial" w:hAnsi="Arial" w:cs="Arial"/>
          <w:sz w:val="20"/>
          <w:szCs w:val="20"/>
        </w:rPr>
        <w:t>No se tienen acciones de algún otro Ente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2031DE" w:rsidRDefault="002031DE" w:rsidP="002031DE">
      <w:pPr>
        <w:ind w:firstLine="709"/>
        <w:jc w:val="both"/>
        <w:rPr>
          <w:rFonts w:ascii="Arial" w:hAnsi="Arial" w:cs="Arial"/>
          <w:sz w:val="20"/>
          <w:szCs w:val="20"/>
        </w:rPr>
      </w:pPr>
    </w:p>
    <w:p w:rsidR="007D1E76" w:rsidRPr="002031DE" w:rsidRDefault="002031DE" w:rsidP="002031DE">
      <w:pPr>
        <w:ind w:firstLine="709"/>
        <w:jc w:val="both"/>
        <w:rPr>
          <w:rFonts w:ascii="Arial" w:hAnsi="Arial" w:cs="Arial"/>
          <w:b/>
          <w:sz w:val="20"/>
          <w:szCs w:val="20"/>
        </w:rPr>
      </w:pPr>
      <w:r>
        <w:rPr>
          <w:rFonts w:ascii="Arial" w:hAnsi="Arial" w:cs="Arial"/>
          <w:sz w:val="20"/>
          <w:szCs w:val="20"/>
        </w:rPr>
        <w:t>No se mantienen inventarios, en todo caso se utilizaría el método PEPS.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2031DE" w:rsidRDefault="002031DE" w:rsidP="00CB41C4">
      <w:pPr>
        <w:tabs>
          <w:tab w:val="left" w:leader="underscore" w:pos="9639"/>
        </w:tabs>
        <w:spacing w:after="0" w:line="240" w:lineRule="auto"/>
        <w:jc w:val="both"/>
        <w:rPr>
          <w:rFonts w:ascii="Arial" w:hAnsi="Arial" w:cs="Arial"/>
          <w:sz w:val="20"/>
          <w:szCs w:val="20"/>
        </w:rPr>
      </w:pPr>
    </w:p>
    <w:p w:rsidR="007D1E76" w:rsidRPr="00D906DD" w:rsidRDefault="00D906DD" w:rsidP="00D906DD">
      <w:pPr>
        <w:tabs>
          <w:tab w:val="left" w:leader="underscore" w:pos="9639"/>
        </w:tabs>
        <w:spacing w:after="0" w:line="240" w:lineRule="auto"/>
        <w:jc w:val="both"/>
        <w:rPr>
          <w:rFonts w:ascii="Arial" w:hAnsi="Arial" w:cs="Arial"/>
          <w:sz w:val="20"/>
          <w:szCs w:val="20"/>
        </w:rPr>
      </w:pPr>
      <w:r>
        <w:rPr>
          <w:rFonts w:ascii="Arial" w:hAnsi="Arial" w:cs="Arial"/>
          <w:sz w:val="20"/>
          <w:szCs w:val="20"/>
        </w:rPr>
        <w:t xml:space="preserve">La totalidad </w:t>
      </w:r>
      <w:r w:rsidR="002031DE" w:rsidRPr="00AE105D">
        <w:rPr>
          <w:rFonts w:ascii="Arial" w:hAnsi="Arial" w:cs="Arial"/>
          <w:sz w:val="20"/>
          <w:szCs w:val="20"/>
        </w:rPr>
        <w:t>de los empl</w:t>
      </w:r>
      <w:r w:rsidR="002031DE">
        <w:rPr>
          <w:rFonts w:ascii="Arial" w:hAnsi="Arial" w:cs="Arial"/>
          <w:sz w:val="20"/>
          <w:szCs w:val="20"/>
        </w:rPr>
        <w:t>ea</w:t>
      </w:r>
      <w:r w:rsidR="002031DE" w:rsidRPr="00AE105D">
        <w:rPr>
          <w:rFonts w:ascii="Arial" w:hAnsi="Arial" w:cs="Arial"/>
          <w:sz w:val="20"/>
          <w:szCs w:val="20"/>
        </w:rPr>
        <w:t>dos están protegidos con el IMSS e INFONAVIT</w:t>
      </w:r>
      <w:r w:rsidR="002031DE">
        <w:rPr>
          <w:rFonts w:ascii="Arial" w:hAnsi="Arial" w:cs="Arial"/>
          <w:sz w:val="20"/>
          <w:szCs w:val="20"/>
        </w:rPr>
        <w:t xml:space="preserve"> y n</w:t>
      </w:r>
      <w:r w:rsidR="002031DE" w:rsidRPr="00175D33">
        <w:rPr>
          <w:rFonts w:ascii="Arial" w:hAnsi="Arial" w:cs="Arial"/>
          <w:sz w:val="20"/>
          <w:szCs w:val="20"/>
        </w:rPr>
        <w:t>o se tienen</w:t>
      </w:r>
      <w:r w:rsidR="002031DE">
        <w:rPr>
          <w:rFonts w:ascii="Arial" w:hAnsi="Arial" w:cs="Arial"/>
          <w:sz w:val="20"/>
          <w:szCs w:val="20"/>
        </w:rPr>
        <w:t xml:space="preserve"> otro tipo de </w:t>
      </w:r>
      <w:r w:rsidR="002031DE" w:rsidRPr="00175D33">
        <w:rPr>
          <w:rFonts w:ascii="Arial" w:hAnsi="Arial" w:cs="Arial"/>
          <w:sz w:val="20"/>
          <w:szCs w:val="20"/>
        </w:rPr>
        <w:t xml:space="preserve"> reservas para beneficios futuros de los empleados, más que l</w:t>
      </w:r>
      <w:r w:rsidR="0010393C">
        <w:rPr>
          <w:rFonts w:ascii="Arial" w:hAnsi="Arial" w:cs="Arial"/>
          <w:sz w:val="20"/>
          <w:szCs w:val="20"/>
        </w:rPr>
        <w:t>as contempladas anualmente en el</w:t>
      </w:r>
      <w:r w:rsidR="002031DE" w:rsidRPr="00175D33">
        <w:rPr>
          <w:rFonts w:ascii="Arial" w:hAnsi="Arial" w:cs="Arial"/>
          <w:sz w:val="20"/>
          <w:szCs w:val="20"/>
        </w:rPr>
        <w:t xml:space="preserve"> presupuesto de egresos del ejercicio presente.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2031DE" w:rsidRDefault="002031DE" w:rsidP="00CB41C4">
      <w:pPr>
        <w:tabs>
          <w:tab w:val="left" w:leader="underscore" w:pos="9639"/>
        </w:tabs>
        <w:spacing w:after="0" w:line="240" w:lineRule="auto"/>
        <w:jc w:val="both"/>
        <w:rPr>
          <w:rFonts w:ascii="Arial" w:hAnsi="Arial" w:cs="Arial"/>
          <w:sz w:val="20"/>
          <w:szCs w:val="20"/>
        </w:rPr>
      </w:pPr>
    </w:p>
    <w:p w:rsidR="007D1E76" w:rsidRPr="00E74967" w:rsidRDefault="002031DE" w:rsidP="002031DE">
      <w:pPr>
        <w:tabs>
          <w:tab w:val="left" w:leader="underscore" w:pos="9639"/>
        </w:tabs>
        <w:spacing w:after="0" w:line="240" w:lineRule="auto"/>
        <w:ind w:left="709"/>
        <w:jc w:val="both"/>
        <w:rPr>
          <w:rFonts w:cs="Calibri"/>
        </w:rPr>
      </w:pPr>
      <w:r w:rsidRPr="00175D33">
        <w:rPr>
          <w:rFonts w:ascii="Arial" w:hAnsi="Arial" w:cs="Arial"/>
          <w:sz w:val="20"/>
          <w:szCs w:val="20"/>
        </w:rPr>
        <w:t>No se cuenta con Provisiones.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2031DE" w:rsidRDefault="002031DE" w:rsidP="002031DE">
      <w:pPr>
        <w:ind w:firstLine="709"/>
        <w:jc w:val="both"/>
        <w:rPr>
          <w:rFonts w:ascii="Arial" w:hAnsi="Arial" w:cs="Arial"/>
          <w:sz w:val="20"/>
          <w:szCs w:val="20"/>
        </w:rPr>
      </w:pPr>
    </w:p>
    <w:p w:rsidR="002031DE" w:rsidRPr="00175D33" w:rsidRDefault="002031DE" w:rsidP="002031DE">
      <w:pPr>
        <w:ind w:firstLine="709"/>
        <w:jc w:val="both"/>
        <w:rPr>
          <w:rFonts w:ascii="Arial" w:hAnsi="Arial" w:cs="Arial"/>
          <w:sz w:val="20"/>
          <w:szCs w:val="20"/>
        </w:rPr>
      </w:pPr>
      <w:r w:rsidRPr="00175D33">
        <w:rPr>
          <w:rFonts w:ascii="Arial" w:hAnsi="Arial" w:cs="Arial"/>
          <w:sz w:val="20"/>
          <w:szCs w:val="20"/>
        </w:rPr>
        <w:t>No se cuenta con Reservas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2031DE" w:rsidRDefault="002031DE" w:rsidP="002031DE">
      <w:pPr>
        <w:ind w:left="709"/>
        <w:jc w:val="both"/>
        <w:rPr>
          <w:rFonts w:ascii="Arial" w:hAnsi="Arial" w:cs="Arial"/>
          <w:sz w:val="20"/>
          <w:szCs w:val="20"/>
        </w:rPr>
      </w:pPr>
    </w:p>
    <w:p w:rsidR="007D1E76" w:rsidRPr="002031DE" w:rsidRDefault="002031DE" w:rsidP="002031DE">
      <w:pPr>
        <w:ind w:left="709"/>
        <w:jc w:val="both"/>
        <w:rPr>
          <w:rFonts w:ascii="Arial" w:hAnsi="Arial" w:cs="Arial"/>
          <w:sz w:val="20"/>
          <w:szCs w:val="20"/>
        </w:rPr>
      </w:pPr>
      <w:r w:rsidRPr="00175D33">
        <w:rPr>
          <w:rFonts w:ascii="Arial" w:hAnsi="Arial" w:cs="Arial"/>
          <w:sz w:val="20"/>
          <w:szCs w:val="20"/>
        </w:rPr>
        <w:t>El cambio en las políticas contables se ve del ejercicio 2011 al ejercicio 2012 provocado por la implementación de  los momentos contables de los Ingresos y Egresos normados por el CONAC</w:t>
      </w:r>
      <w:r>
        <w:rPr>
          <w:rFonts w:ascii="Arial" w:hAnsi="Arial" w:cs="Arial"/>
          <w:sz w:val="20"/>
          <w:szCs w:val="20"/>
        </w:rPr>
        <w:t>.</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2031DE" w:rsidRPr="00E74967" w:rsidRDefault="002031DE" w:rsidP="00CB41C4">
      <w:pPr>
        <w:tabs>
          <w:tab w:val="left" w:leader="underscore" w:pos="9639"/>
        </w:tabs>
        <w:spacing w:after="0" w:line="240" w:lineRule="auto"/>
        <w:jc w:val="both"/>
        <w:rPr>
          <w:rFonts w:cs="Calibri"/>
        </w:rPr>
      </w:pPr>
    </w:p>
    <w:p w:rsidR="007D1E76" w:rsidRPr="00E74967" w:rsidRDefault="002031DE" w:rsidP="002031DE">
      <w:pPr>
        <w:tabs>
          <w:tab w:val="left" w:leader="underscore" w:pos="9639"/>
        </w:tabs>
        <w:spacing w:after="0" w:line="240" w:lineRule="auto"/>
        <w:ind w:left="709"/>
        <w:jc w:val="both"/>
        <w:rPr>
          <w:rFonts w:cs="Calibri"/>
        </w:rPr>
      </w:pPr>
      <w:r w:rsidRPr="00175D33">
        <w:rPr>
          <w:rFonts w:ascii="Arial" w:hAnsi="Arial" w:cs="Arial"/>
          <w:sz w:val="20"/>
          <w:szCs w:val="20"/>
        </w:rPr>
        <w:t>No existe reclasificaciones importantes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2031DE" w:rsidRDefault="002031DE" w:rsidP="002031DE">
      <w:pPr>
        <w:ind w:firstLine="709"/>
        <w:jc w:val="both"/>
        <w:rPr>
          <w:rFonts w:ascii="Arial" w:hAnsi="Arial" w:cs="Arial"/>
          <w:sz w:val="20"/>
          <w:szCs w:val="20"/>
        </w:rPr>
      </w:pPr>
    </w:p>
    <w:p w:rsidR="007D1E76" w:rsidRPr="002031DE" w:rsidRDefault="002031DE" w:rsidP="002031DE">
      <w:pPr>
        <w:ind w:firstLine="709"/>
        <w:jc w:val="both"/>
        <w:rPr>
          <w:rFonts w:ascii="Arial" w:hAnsi="Arial" w:cs="Arial"/>
          <w:sz w:val="20"/>
          <w:szCs w:val="20"/>
        </w:rPr>
      </w:pPr>
      <w:r>
        <w:rPr>
          <w:rFonts w:ascii="Arial" w:hAnsi="Arial" w:cs="Arial"/>
          <w:sz w:val="20"/>
          <w:szCs w:val="20"/>
        </w:rPr>
        <w:t>No existe depuraciones o cancelaciones</w:t>
      </w:r>
      <w:r w:rsidRPr="00175D33">
        <w:rPr>
          <w:rFonts w:ascii="Arial" w:hAnsi="Arial" w:cs="Arial"/>
          <w:sz w:val="20"/>
          <w:szCs w:val="20"/>
        </w:rPr>
        <w:t xml:space="preserve"> importantes</w:t>
      </w:r>
    </w:p>
    <w:p w:rsidR="00E00323" w:rsidRPr="00E74967" w:rsidRDefault="00E00323" w:rsidP="00CB41C4">
      <w:pPr>
        <w:tabs>
          <w:tab w:val="left" w:leader="underscore" w:pos="9639"/>
        </w:tabs>
        <w:spacing w:after="0" w:line="240" w:lineRule="auto"/>
        <w:jc w:val="both"/>
        <w:rPr>
          <w:rFonts w:cs="Calibri"/>
        </w:rPr>
      </w:pPr>
    </w:p>
    <w:p w:rsidR="007D1E76" w:rsidRPr="000C3365" w:rsidRDefault="002F57CC" w:rsidP="000C3365">
      <w:pPr>
        <w:pStyle w:val="Ttulo2"/>
        <w:rPr>
          <w:rFonts w:asciiTheme="minorHAnsi" w:hAnsiTheme="minorHAnsi" w:cstheme="minorHAnsi"/>
          <w:b/>
          <w:color w:val="auto"/>
          <w:sz w:val="22"/>
        </w:rPr>
      </w:pPr>
      <w:bookmarkStart w:id="6" w:name="_Toc508279627"/>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2031DE" w:rsidRPr="00E74967" w:rsidRDefault="002031DE" w:rsidP="00CB41C4">
      <w:pPr>
        <w:tabs>
          <w:tab w:val="left" w:leader="underscore" w:pos="9639"/>
        </w:tabs>
        <w:spacing w:after="0" w:line="240" w:lineRule="auto"/>
        <w:jc w:val="both"/>
        <w:rPr>
          <w:rFonts w:cs="Calibri"/>
        </w:rPr>
      </w:pPr>
    </w:p>
    <w:p w:rsidR="007D1E76" w:rsidRPr="00E74967" w:rsidRDefault="002031DE" w:rsidP="002031DE">
      <w:pPr>
        <w:tabs>
          <w:tab w:val="left" w:leader="underscore" w:pos="9639"/>
        </w:tabs>
        <w:spacing w:after="0" w:line="240" w:lineRule="auto"/>
        <w:ind w:left="709"/>
        <w:jc w:val="both"/>
        <w:rPr>
          <w:rFonts w:cs="Calibri"/>
        </w:rPr>
      </w:pPr>
      <w:r w:rsidRPr="00175D33">
        <w:rPr>
          <w:rFonts w:ascii="Arial" w:hAnsi="Arial" w:cs="Arial"/>
          <w:sz w:val="20"/>
          <w:szCs w:val="20"/>
        </w:rPr>
        <w:t>No se tienen Activos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2031DE" w:rsidRDefault="002031DE" w:rsidP="00CB41C4">
      <w:pPr>
        <w:tabs>
          <w:tab w:val="left" w:leader="underscore" w:pos="9639"/>
        </w:tabs>
        <w:spacing w:after="0" w:line="240" w:lineRule="auto"/>
        <w:jc w:val="both"/>
        <w:rPr>
          <w:rFonts w:ascii="Arial" w:hAnsi="Arial" w:cs="Arial"/>
          <w:sz w:val="20"/>
          <w:szCs w:val="20"/>
        </w:rPr>
      </w:pPr>
    </w:p>
    <w:p w:rsidR="007D1E76" w:rsidRPr="00E74967" w:rsidRDefault="002031DE" w:rsidP="002031DE">
      <w:pPr>
        <w:tabs>
          <w:tab w:val="left" w:leader="underscore" w:pos="9639"/>
        </w:tabs>
        <w:spacing w:after="0" w:line="240" w:lineRule="auto"/>
        <w:ind w:left="709"/>
        <w:jc w:val="both"/>
        <w:rPr>
          <w:rFonts w:cs="Calibri"/>
        </w:rPr>
      </w:pPr>
      <w:r w:rsidRPr="00175D33">
        <w:rPr>
          <w:rFonts w:ascii="Arial" w:hAnsi="Arial" w:cs="Arial"/>
          <w:sz w:val="20"/>
          <w:szCs w:val="20"/>
        </w:rPr>
        <w:t>No se tienen Pasivos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2031DE" w:rsidRDefault="002031DE" w:rsidP="00CB41C4">
      <w:pPr>
        <w:tabs>
          <w:tab w:val="left" w:leader="underscore" w:pos="9639"/>
        </w:tabs>
        <w:spacing w:after="0" w:line="240" w:lineRule="auto"/>
        <w:jc w:val="both"/>
        <w:rPr>
          <w:rFonts w:ascii="Arial" w:hAnsi="Arial" w:cs="Arial"/>
          <w:sz w:val="20"/>
          <w:szCs w:val="20"/>
        </w:rPr>
      </w:pPr>
    </w:p>
    <w:p w:rsidR="007D1E76" w:rsidRPr="00E74967" w:rsidRDefault="002031DE" w:rsidP="002031DE">
      <w:pPr>
        <w:tabs>
          <w:tab w:val="left" w:leader="underscore" w:pos="9639"/>
        </w:tabs>
        <w:spacing w:after="0" w:line="240" w:lineRule="auto"/>
        <w:ind w:left="709"/>
        <w:jc w:val="both"/>
        <w:rPr>
          <w:rFonts w:cs="Calibri"/>
        </w:rPr>
      </w:pPr>
      <w:r w:rsidRPr="00175D33">
        <w:rPr>
          <w:rFonts w:ascii="Arial" w:hAnsi="Arial" w:cs="Arial"/>
          <w:sz w:val="20"/>
          <w:szCs w:val="20"/>
        </w:rPr>
        <w:t>No se tienen operaciones en moneda extrajera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2031DE" w:rsidRDefault="002031DE" w:rsidP="00CB41C4">
      <w:pPr>
        <w:tabs>
          <w:tab w:val="left" w:leader="underscore" w:pos="9639"/>
        </w:tabs>
        <w:spacing w:after="0" w:line="240" w:lineRule="auto"/>
        <w:jc w:val="both"/>
        <w:rPr>
          <w:rFonts w:ascii="Arial" w:hAnsi="Arial" w:cs="Arial"/>
          <w:sz w:val="20"/>
          <w:szCs w:val="20"/>
        </w:rPr>
      </w:pPr>
    </w:p>
    <w:p w:rsidR="007D1E76" w:rsidRPr="00E74967" w:rsidRDefault="002031DE" w:rsidP="00CB41C4">
      <w:pPr>
        <w:tabs>
          <w:tab w:val="left" w:leader="underscore" w:pos="9639"/>
        </w:tabs>
        <w:spacing w:after="0" w:line="240" w:lineRule="auto"/>
        <w:jc w:val="both"/>
        <w:rPr>
          <w:rFonts w:cs="Calibri"/>
        </w:rPr>
      </w:pPr>
      <w:r w:rsidRPr="00175D33">
        <w:rPr>
          <w:rFonts w:ascii="Arial" w:hAnsi="Arial" w:cs="Arial"/>
          <w:sz w:val="20"/>
          <w:szCs w:val="20"/>
        </w:rPr>
        <w:t>No se tienen operaciones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2031DE" w:rsidRDefault="002031DE" w:rsidP="00CB41C4">
      <w:pPr>
        <w:tabs>
          <w:tab w:val="left" w:leader="underscore" w:pos="9639"/>
        </w:tabs>
        <w:spacing w:after="0" w:line="240" w:lineRule="auto"/>
        <w:jc w:val="both"/>
        <w:rPr>
          <w:rFonts w:ascii="Arial" w:hAnsi="Arial" w:cs="Arial"/>
          <w:sz w:val="20"/>
          <w:szCs w:val="20"/>
        </w:rPr>
      </w:pPr>
    </w:p>
    <w:p w:rsidR="007D1E76" w:rsidRPr="00E74967" w:rsidRDefault="002031DE" w:rsidP="002031DE">
      <w:pPr>
        <w:tabs>
          <w:tab w:val="left" w:leader="underscore" w:pos="9639"/>
        </w:tabs>
        <w:spacing w:after="0" w:line="240" w:lineRule="auto"/>
        <w:ind w:left="709"/>
        <w:jc w:val="both"/>
        <w:rPr>
          <w:rFonts w:cs="Calibri"/>
        </w:rPr>
      </w:pPr>
      <w:r w:rsidRPr="00175D33">
        <w:rPr>
          <w:rFonts w:ascii="Arial" w:hAnsi="Arial" w:cs="Arial"/>
          <w:sz w:val="20"/>
          <w:szCs w:val="20"/>
        </w:rPr>
        <w:t>No se tienen operaciones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2F57CC" w:rsidP="000C3365">
      <w:pPr>
        <w:pStyle w:val="Ttulo2"/>
        <w:rPr>
          <w:rFonts w:asciiTheme="minorHAnsi" w:hAnsiTheme="minorHAnsi" w:cstheme="minorHAnsi"/>
          <w:b/>
          <w:color w:val="auto"/>
          <w:sz w:val="22"/>
        </w:rPr>
      </w:pPr>
      <w:bookmarkStart w:id="7" w:name="_Toc508279628"/>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29308D" w:rsidRDefault="00A62400" w:rsidP="0029308D">
      <w:pPr>
        <w:ind w:firstLine="709"/>
        <w:jc w:val="both"/>
        <w:rPr>
          <w:rFonts w:ascii="Arial" w:hAnsi="Arial" w:cs="Arial"/>
          <w:sz w:val="20"/>
          <w:szCs w:val="20"/>
        </w:rPr>
      </w:pPr>
      <w:r>
        <w:rPr>
          <w:rFonts w:ascii="Arial" w:hAnsi="Arial" w:cs="Arial"/>
          <w:sz w:val="20"/>
          <w:szCs w:val="20"/>
        </w:rPr>
        <w:t>Respecto al ejercicio 2023</w:t>
      </w:r>
      <w:r w:rsidR="0029308D">
        <w:rPr>
          <w:rFonts w:ascii="Arial" w:hAnsi="Arial" w:cs="Arial"/>
          <w:sz w:val="20"/>
          <w:szCs w:val="20"/>
        </w:rPr>
        <w:t>, el método  utilizado fue el de Línea Recta, y las tasas de acuerdo a los porcentajes de deducción de Inversiones autorizada para efectos de la Ley del Impuesto sobre la Renta:</w:t>
      </w:r>
    </w:p>
    <w:p w:rsidR="0029308D" w:rsidRDefault="0029308D" w:rsidP="0029308D">
      <w:pPr>
        <w:ind w:firstLine="709"/>
        <w:jc w:val="both"/>
        <w:rPr>
          <w:rFonts w:ascii="Arial" w:hAnsi="Arial" w:cs="Arial"/>
          <w:sz w:val="20"/>
          <w:szCs w:val="20"/>
        </w:rPr>
      </w:pPr>
      <w:r>
        <w:rPr>
          <w:rFonts w:ascii="Arial" w:hAnsi="Arial" w:cs="Arial"/>
          <w:sz w:val="20"/>
          <w:szCs w:val="20"/>
        </w:rPr>
        <w:t>Cárcamos</w:t>
      </w:r>
      <w:r>
        <w:rPr>
          <w:rFonts w:ascii="Arial" w:hAnsi="Arial" w:cs="Arial"/>
          <w:sz w:val="20"/>
          <w:szCs w:val="20"/>
        </w:rPr>
        <w:tab/>
      </w:r>
      <w:r>
        <w:rPr>
          <w:rFonts w:ascii="Arial" w:hAnsi="Arial" w:cs="Arial"/>
          <w:sz w:val="20"/>
          <w:szCs w:val="20"/>
        </w:rPr>
        <w:tab/>
      </w:r>
      <w:r>
        <w:rPr>
          <w:rFonts w:ascii="Arial" w:hAnsi="Arial" w:cs="Arial"/>
          <w:sz w:val="20"/>
          <w:szCs w:val="20"/>
        </w:rPr>
        <w:tab/>
        <w:t>5%</w:t>
      </w:r>
    </w:p>
    <w:p w:rsidR="0029308D" w:rsidRDefault="0029308D" w:rsidP="0029308D">
      <w:pPr>
        <w:ind w:firstLine="709"/>
        <w:jc w:val="both"/>
        <w:rPr>
          <w:rFonts w:ascii="Arial" w:hAnsi="Arial" w:cs="Arial"/>
          <w:sz w:val="20"/>
          <w:szCs w:val="20"/>
        </w:rPr>
      </w:pPr>
      <w:r>
        <w:rPr>
          <w:rFonts w:ascii="Arial" w:hAnsi="Arial" w:cs="Arial"/>
          <w:sz w:val="20"/>
          <w:szCs w:val="20"/>
        </w:rPr>
        <w:t>Equipo de Cloración</w:t>
      </w:r>
      <w:r>
        <w:rPr>
          <w:rFonts w:ascii="Arial" w:hAnsi="Arial" w:cs="Arial"/>
          <w:sz w:val="20"/>
          <w:szCs w:val="20"/>
        </w:rPr>
        <w:tab/>
      </w:r>
      <w:r>
        <w:rPr>
          <w:rFonts w:ascii="Arial" w:hAnsi="Arial" w:cs="Arial"/>
          <w:sz w:val="20"/>
          <w:szCs w:val="20"/>
        </w:rPr>
        <w:tab/>
        <w:t>10%</w:t>
      </w:r>
    </w:p>
    <w:p w:rsidR="0029308D" w:rsidRDefault="0029308D" w:rsidP="0029308D">
      <w:pPr>
        <w:ind w:firstLine="709"/>
        <w:jc w:val="both"/>
        <w:rPr>
          <w:rFonts w:ascii="Arial" w:hAnsi="Arial" w:cs="Arial"/>
          <w:sz w:val="20"/>
          <w:szCs w:val="20"/>
        </w:rPr>
      </w:pPr>
      <w:r>
        <w:rPr>
          <w:rFonts w:ascii="Arial" w:hAnsi="Arial" w:cs="Arial"/>
          <w:sz w:val="20"/>
          <w:szCs w:val="20"/>
        </w:rPr>
        <w:t>Equipo de Cómputo</w:t>
      </w:r>
      <w:r>
        <w:rPr>
          <w:rFonts w:ascii="Arial" w:hAnsi="Arial" w:cs="Arial"/>
          <w:sz w:val="20"/>
          <w:szCs w:val="20"/>
        </w:rPr>
        <w:tab/>
      </w:r>
      <w:r>
        <w:rPr>
          <w:rFonts w:ascii="Arial" w:hAnsi="Arial" w:cs="Arial"/>
          <w:sz w:val="20"/>
          <w:szCs w:val="20"/>
        </w:rPr>
        <w:tab/>
        <w:t>30%</w:t>
      </w:r>
    </w:p>
    <w:p w:rsidR="0029308D" w:rsidRDefault="0029308D" w:rsidP="0029308D">
      <w:pPr>
        <w:ind w:firstLine="709"/>
        <w:jc w:val="both"/>
        <w:rPr>
          <w:rFonts w:ascii="Arial" w:hAnsi="Arial" w:cs="Arial"/>
          <w:sz w:val="20"/>
          <w:szCs w:val="20"/>
        </w:rPr>
      </w:pPr>
      <w:r>
        <w:rPr>
          <w:rFonts w:ascii="Arial" w:hAnsi="Arial" w:cs="Arial"/>
          <w:sz w:val="20"/>
          <w:szCs w:val="20"/>
        </w:rPr>
        <w:t>Edificios</w:t>
      </w:r>
      <w:r>
        <w:rPr>
          <w:rFonts w:ascii="Arial" w:hAnsi="Arial" w:cs="Arial"/>
          <w:sz w:val="20"/>
          <w:szCs w:val="20"/>
        </w:rPr>
        <w:tab/>
      </w:r>
      <w:r>
        <w:rPr>
          <w:rFonts w:ascii="Arial" w:hAnsi="Arial" w:cs="Arial"/>
          <w:sz w:val="20"/>
          <w:szCs w:val="20"/>
        </w:rPr>
        <w:tab/>
      </w:r>
      <w:r>
        <w:rPr>
          <w:rFonts w:ascii="Arial" w:hAnsi="Arial" w:cs="Arial"/>
          <w:sz w:val="20"/>
          <w:szCs w:val="20"/>
        </w:rPr>
        <w:tab/>
        <w:t>5%</w:t>
      </w:r>
    </w:p>
    <w:p w:rsidR="0029308D" w:rsidRDefault="0029308D" w:rsidP="0029308D">
      <w:pPr>
        <w:ind w:firstLine="709"/>
        <w:jc w:val="both"/>
        <w:rPr>
          <w:rFonts w:ascii="Arial" w:hAnsi="Arial" w:cs="Arial"/>
          <w:sz w:val="20"/>
          <w:szCs w:val="20"/>
        </w:rPr>
      </w:pPr>
      <w:r>
        <w:rPr>
          <w:rFonts w:ascii="Arial" w:hAnsi="Arial" w:cs="Arial"/>
          <w:sz w:val="20"/>
          <w:szCs w:val="20"/>
        </w:rPr>
        <w:t>Equipo de Oficina</w:t>
      </w:r>
      <w:r>
        <w:rPr>
          <w:rFonts w:ascii="Arial" w:hAnsi="Arial" w:cs="Arial"/>
          <w:sz w:val="20"/>
          <w:szCs w:val="20"/>
        </w:rPr>
        <w:tab/>
      </w:r>
      <w:r>
        <w:rPr>
          <w:rFonts w:ascii="Arial" w:hAnsi="Arial" w:cs="Arial"/>
          <w:sz w:val="20"/>
          <w:szCs w:val="20"/>
        </w:rPr>
        <w:tab/>
        <w:t>10%</w:t>
      </w:r>
    </w:p>
    <w:p w:rsidR="0029308D" w:rsidRDefault="0029308D" w:rsidP="0029308D">
      <w:pPr>
        <w:ind w:firstLine="709"/>
        <w:jc w:val="both"/>
        <w:rPr>
          <w:rFonts w:ascii="Arial" w:hAnsi="Arial" w:cs="Arial"/>
          <w:sz w:val="20"/>
          <w:szCs w:val="20"/>
        </w:rPr>
      </w:pPr>
      <w:r>
        <w:rPr>
          <w:rFonts w:ascii="Arial" w:hAnsi="Arial" w:cs="Arial"/>
          <w:sz w:val="20"/>
          <w:szCs w:val="20"/>
        </w:rPr>
        <w:t>Mejora de Redes</w:t>
      </w:r>
      <w:r>
        <w:rPr>
          <w:rFonts w:ascii="Arial" w:hAnsi="Arial" w:cs="Arial"/>
          <w:sz w:val="20"/>
          <w:szCs w:val="20"/>
        </w:rPr>
        <w:tab/>
      </w:r>
      <w:r>
        <w:rPr>
          <w:rFonts w:ascii="Arial" w:hAnsi="Arial" w:cs="Arial"/>
          <w:sz w:val="20"/>
          <w:szCs w:val="20"/>
        </w:rPr>
        <w:tab/>
        <w:t>5%</w:t>
      </w:r>
    </w:p>
    <w:p w:rsidR="0029308D" w:rsidRDefault="0029308D" w:rsidP="0029308D">
      <w:pPr>
        <w:ind w:firstLine="709"/>
        <w:jc w:val="both"/>
        <w:rPr>
          <w:rFonts w:ascii="Arial" w:hAnsi="Arial" w:cs="Arial"/>
          <w:sz w:val="20"/>
          <w:szCs w:val="20"/>
        </w:rPr>
      </w:pPr>
      <w:r>
        <w:rPr>
          <w:rFonts w:ascii="Arial" w:hAnsi="Arial" w:cs="Arial"/>
          <w:sz w:val="20"/>
          <w:szCs w:val="20"/>
        </w:rPr>
        <w:t>Mejora de Edificios</w:t>
      </w:r>
      <w:r>
        <w:rPr>
          <w:rFonts w:ascii="Arial" w:hAnsi="Arial" w:cs="Arial"/>
          <w:sz w:val="20"/>
          <w:szCs w:val="20"/>
        </w:rPr>
        <w:tab/>
      </w:r>
      <w:r>
        <w:rPr>
          <w:rFonts w:ascii="Arial" w:hAnsi="Arial" w:cs="Arial"/>
          <w:sz w:val="20"/>
          <w:szCs w:val="20"/>
        </w:rPr>
        <w:tab/>
        <w:t>5%</w:t>
      </w:r>
    </w:p>
    <w:p w:rsidR="0029308D" w:rsidRDefault="0029308D" w:rsidP="0029308D">
      <w:pPr>
        <w:ind w:firstLine="709"/>
        <w:jc w:val="both"/>
        <w:rPr>
          <w:rFonts w:ascii="Arial" w:hAnsi="Arial" w:cs="Arial"/>
          <w:sz w:val="20"/>
          <w:szCs w:val="20"/>
        </w:rPr>
      </w:pPr>
      <w:r>
        <w:rPr>
          <w:rFonts w:ascii="Arial" w:hAnsi="Arial" w:cs="Arial"/>
          <w:sz w:val="20"/>
          <w:szCs w:val="20"/>
        </w:rPr>
        <w:t>Equipo de Radio</w:t>
      </w:r>
      <w:r>
        <w:rPr>
          <w:rFonts w:ascii="Arial" w:hAnsi="Arial" w:cs="Arial"/>
          <w:sz w:val="20"/>
          <w:szCs w:val="20"/>
        </w:rPr>
        <w:tab/>
      </w:r>
      <w:r>
        <w:rPr>
          <w:rFonts w:ascii="Arial" w:hAnsi="Arial" w:cs="Arial"/>
          <w:sz w:val="20"/>
          <w:szCs w:val="20"/>
        </w:rPr>
        <w:tab/>
        <w:t>10%</w:t>
      </w:r>
    </w:p>
    <w:p w:rsidR="0029308D" w:rsidRDefault="0029308D" w:rsidP="0029308D">
      <w:pPr>
        <w:ind w:firstLine="709"/>
        <w:jc w:val="both"/>
        <w:rPr>
          <w:rFonts w:ascii="Arial" w:hAnsi="Arial" w:cs="Arial"/>
          <w:sz w:val="20"/>
          <w:szCs w:val="20"/>
        </w:rPr>
      </w:pPr>
      <w:r>
        <w:rPr>
          <w:rFonts w:ascii="Arial" w:hAnsi="Arial" w:cs="Arial"/>
          <w:sz w:val="20"/>
          <w:szCs w:val="20"/>
        </w:rPr>
        <w:t>Equipo de Transporte</w:t>
      </w:r>
      <w:r>
        <w:rPr>
          <w:rFonts w:ascii="Arial" w:hAnsi="Arial" w:cs="Arial"/>
          <w:sz w:val="20"/>
          <w:szCs w:val="20"/>
        </w:rPr>
        <w:tab/>
      </w:r>
      <w:r>
        <w:rPr>
          <w:rFonts w:ascii="Arial" w:hAnsi="Arial" w:cs="Arial"/>
          <w:sz w:val="20"/>
          <w:szCs w:val="20"/>
        </w:rPr>
        <w:tab/>
        <w:t>25%</w:t>
      </w:r>
    </w:p>
    <w:p w:rsidR="0029308D" w:rsidRDefault="0029308D" w:rsidP="0029308D">
      <w:pPr>
        <w:ind w:firstLine="709"/>
        <w:jc w:val="both"/>
        <w:rPr>
          <w:rFonts w:ascii="Arial" w:hAnsi="Arial" w:cs="Arial"/>
          <w:sz w:val="20"/>
          <w:szCs w:val="20"/>
        </w:rPr>
      </w:pPr>
      <w:r>
        <w:rPr>
          <w:rFonts w:ascii="Arial" w:hAnsi="Arial" w:cs="Arial"/>
          <w:sz w:val="20"/>
          <w:szCs w:val="20"/>
        </w:rPr>
        <w:t>Herramientas</w:t>
      </w:r>
      <w:r>
        <w:rPr>
          <w:rFonts w:ascii="Arial" w:hAnsi="Arial" w:cs="Arial"/>
          <w:sz w:val="20"/>
          <w:szCs w:val="20"/>
        </w:rPr>
        <w:tab/>
      </w:r>
      <w:r>
        <w:rPr>
          <w:rFonts w:ascii="Arial" w:hAnsi="Arial" w:cs="Arial"/>
          <w:sz w:val="20"/>
          <w:szCs w:val="20"/>
        </w:rPr>
        <w:tab/>
      </w:r>
      <w:r>
        <w:rPr>
          <w:rFonts w:ascii="Arial" w:hAnsi="Arial" w:cs="Arial"/>
          <w:sz w:val="20"/>
          <w:szCs w:val="20"/>
        </w:rPr>
        <w:tab/>
        <w:t>35%</w:t>
      </w:r>
    </w:p>
    <w:p w:rsidR="0029308D" w:rsidRDefault="0029308D" w:rsidP="0029308D">
      <w:pPr>
        <w:ind w:firstLine="709"/>
        <w:jc w:val="both"/>
        <w:rPr>
          <w:rFonts w:ascii="Arial" w:hAnsi="Arial" w:cs="Arial"/>
          <w:sz w:val="20"/>
          <w:szCs w:val="20"/>
        </w:rPr>
      </w:pPr>
      <w:r>
        <w:rPr>
          <w:rFonts w:ascii="Arial" w:hAnsi="Arial" w:cs="Arial"/>
          <w:sz w:val="20"/>
          <w:szCs w:val="20"/>
        </w:rPr>
        <w:t>Maquinaria y Equipo</w:t>
      </w:r>
      <w:r>
        <w:rPr>
          <w:rFonts w:ascii="Arial" w:hAnsi="Arial" w:cs="Arial"/>
          <w:sz w:val="20"/>
          <w:szCs w:val="20"/>
        </w:rPr>
        <w:tab/>
      </w:r>
      <w:r>
        <w:rPr>
          <w:rFonts w:ascii="Arial" w:hAnsi="Arial" w:cs="Arial"/>
          <w:sz w:val="20"/>
          <w:szCs w:val="20"/>
        </w:rPr>
        <w:tab/>
        <w:t>10%</w:t>
      </w:r>
    </w:p>
    <w:p w:rsidR="0029308D" w:rsidRDefault="0029308D" w:rsidP="0029308D">
      <w:pPr>
        <w:ind w:firstLine="709"/>
        <w:jc w:val="both"/>
        <w:rPr>
          <w:rFonts w:ascii="Arial" w:hAnsi="Arial" w:cs="Arial"/>
          <w:sz w:val="20"/>
          <w:szCs w:val="20"/>
        </w:rPr>
      </w:pPr>
      <w:r>
        <w:rPr>
          <w:rFonts w:ascii="Arial" w:hAnsi="Arial" w:cs="Arial"/>
          <w:sz w:val="20"/>
          <w:szCs w:val="20"/>
        </w:rPr>
        <w:t>Equipo de Pozos</w:t>
      </w:r>
      <w:r>
        <w:rPr>
          <w:rFonts w:ascii="Arial" w:hAnsi="Arial" w:cs="Arial"/>
          <w:sz w:val="20"/>
          <w:szCs w:val="20"/>
        </w:rPr>
        <w:tab/>
      </w:r>
      <w:r>
        <w:rPr>
          <w:rFonts w:ascii="Arial" w:hAnsi="Arial" w:cs="Arial"/>
          <w:sz w:val="20"/>
          <w:szCs w:val="20"/>
        </w:rPr>
        <w:tab/>
        <w:t>10%</w:t>
      </w:r>
    </w:p>
    <w:p w:rsidR="0029308D" w:rsidRDefault="0029308D" w:rsidP="0029308D">
      <w:pPr>
        <w:ind w:firstLine="709"/>
        <w:jc w:val="both"/>
        <w:rPr>
          <w:rFonts w:ascii="Arial" w:hAnsi="Arial" w:cs="Arial"/>
          <w:sz w:val="20"/>
          <w:szCs w:val="20"/>
        </w:rPr>
      </w:pPr>
      <w:r>
        <w:rPr>
          <w:rFonts w:ascii="Arial" w:hAnsi="Arial" w:cs="Arial"/>
          <w:sz w:val="20"/>
          <w:szCs w:val="20"/>
        </w:rPr>
        <w:lastRenderedPageBreak/>
        <w:t>Tanque Elevado</w:t>
      </w:r>
      <w:r>
        <w:rPr>
          <w:rFonts w:ascii="Arial" w:hAnsi="Arial" w:cs="Arial"/>
          <w:sz w:val="20"/>
          <w:szCs w:val="20"/>
        </w:rPr>
        <w:tab/>
      </w:r>
      <w:r>
        <w:rPr>
          <w:rFonts w:ascii="Arial" w:hAnsi="Arial" w:cs="Arial"/>
          <w:sz w:val="20"/>
          <w:szCs w:val="20"/>
        </w:rPr>
        <w:tab/>
        <w:t>5%</w:t>
      </w:r>
    </w:p>
    <w:p w:rsidR="0029308D" w:rsidRDefault="0029308D" w:rsidP="0029308D">
      <w:pPr>
        <w:ind w:firstLine="709"/>
        <w:jc w:val="both"/>
        <w:rPr>
          <w:rFonts w:ascii="Arial" w:hAnsi="Arial" w:cs="Arial"/>
          <w:sz w:val="20"/>
          <w:szCs w:val="20"/>
        </w:rPr>
      </w:pPr>
      <w:r>
        <w:rPr>
          <w:rFonts w:ascii="Arial" w:hAnsi="Arial" w:cs="Arial"/>
          <w:sz w:val="20"/>
          <w:szCs w:val="20"/>
        </w:rPr>
        <w:t>Colectores</w:t>
      </w:r>
      <w:r>
        <w:rPr>
          <w:rFonts w:ascii="Arial" w:hAnsi="Arial" w:cs="Arial"/>
          <w:sz w:val="20"/>
          <w:szCs w:val="20"/>
        </w:rPr>
        <w:tab/>
      </w:r>
      <w:r>
        <w:rPr>
          <w:rFonts w:ascii="Arial" w:hAnsi="Arial" w:cs="Arial"/>
          <w:sz w:val="20"/>
          <w:szCs w:val="20"/>
        </w:rPr>
        <w:tab/>
      </w:r>
      <w:r>
        <w:rPr>
          <w:rFonts w:ascii="Arial" w:hAnsi="Arial" w:cs="Arial"/>
          <w:sz w:val="20"/>
          <w:szCs w:val="20"/>
        </w:rPr>
        <w:tab/>
        <w:t>3.33%</w:t>
      </w:r>
    </w:p>
    <w:p w:rsidR="0029308D" w:rsidRDefault="0029308D" w:rsidP="0029308D">
      <w:pPr>
        <w:ind w:firstLine="709"/>
        <w:jc w:val="both"/>
        <w:rPr>
          <w:rFonts w:ascii="Arial" w:hAnsi="Arial" w:cs="Arial"/>
          <w:sz w:val="20"/>
          <w:szCs w:val="20"/>
        </w:rPr>
      </w:pPr>
      <w:r>
        <w:rPr>
          <w:rFonts w:ascii="Arial" w:hAnsi="Arial" w:cs="Arial"/>
          <w:sz w:val="20"/>
          <w:szCs w:val="20"/>
        </w:rPr>
        <w:t>Planta de Tratamiento</w:t>
      </w:r>
      <w:r>
        <w:rPr>
          <w:rFonts w:ascii="Arial" w:hAnsi="Arial" w:cs="Arial"/>
          <w:sz w:val="20"/>
          <w:szCs w:val="20"/>
        </w:rPr>
        <w:tab/>
      </w:r>
      <w:r>
        <w:rPr>
          <w:rFonts w:ascii="Arial" w:hAnsi="Arial" w:cs="Arial"/>
          <w:sz w:val="20"/>
          <w:szCs w:val="20"/>
        </w:rPr>
        <w:tab/>
        <w:t>5%</w:t>
      </w:r>
    </w:p>
    <w:p w:rsidR="0029308D" w:rsidRDefault="0029308D" w:rsidP="0029308D">
      <w:pPr>
        <w:ind w:firstLine="709"/>
        <w:jc w:val="both"/>
        <w:rPr>
          <w:rFonts w:ascii="Arial" w:hAnsi="Arial" w:cs="Arial"/>
          <w:sz w:val="20"/>
          <w:szCs w:val="20"/>
        </w:rPr>
      </w:pPr>
      <w:r>
        <w:rPr>
          <w:rFonts w:ascii="Arial" w:hAnsi="Arial" w:cs="Arial"/>
          <w:sz w:val="20"/>
          <w:szCs w:val="20"/>
        </w:rPr>
        <w:t>Títulos de Concesión</w:t>
      </w:r>
      <w:r>
        <w:rPr>
          <w:rFonts w:ascii="Arial" w:hAnsi="Arial" w:cs="Arial"/>
          <w:sz w:val="20"/>
          <w:szCs w:val="20"/>
        </w:rPr>
        <w:tab/>
      </w:r>
      <w:r>
        <w:rPr>
          <w:rFonts w:ascii="Arial" w:hAnsi="Arial" w:cs="Arial"/>
          <w:sz w:val="20"/>
          <w:szCs w:val="20"/>
        </w:rPr>
        <w:tab/>
        <w:t>10%</w:t>
      </w:r>
      <w:r>
        <w:rPr>
          <w:rFonts w:ascii="Arial" w:hAnsi="Arial" w:cs="Arial"/>
          <w:sz w:val="20"/>
          <w:szCs w:val="20"/>
        </w:rPr>
        <w:tab/>
      </w:r>
    </w:p>
    <w:p w:rsidR="007D1E76" w:rsidRPr="00E74967" w:rsidRDefault="0029308D" w:rsidP="0029308D">
      <w:pPr>
        <w:tabs>
          <w:tab w:val="left" w:leader="underscore" w:pos="9639"/>
        </w:tabs>
        <w:spacing w:after="0" w:line="240" w:lineRule="auto"/>
        <w:jc w:val="both"/>
        <w:rPr>
          <w:rFonts w:cs="Calibri"/>
        </w:rPr>
      </w:pPr>
      <w:r>
        <w:rPr>
          <w:rFonts w:ascii="Arial" w:hAnsi="Arial" w:cs="Arial"/>
          <w:sz w:val="20"/>
          <w:szCs w:val="20"/>
        </w:rPr>
        <w:t>Para los ejercicios subsecuentes, de acuerdo con los PARÁMETROS DE ESTIMACIÓN DE VIDA ÚTIL, publicados por el CONAC el 15 de agosto de 2012 en el Diario Oficial de la Federación.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E87734" w:rsidP="00CB41C4">
      <w:pPr>
        <w:tabs>
          <w:tab w:val="left" w:leader="underscore" w:pos="9639"/>
        </w:tabs>
        <w:spacing w:after="0" w:line="240" w:lineRule="auto"/>
        <w:jc w:val="both"/>
        <w:rPr>
          <w:rFonts w:cs="Calibri"/>
        </w:rPr>
      </w:pPr>
      <w:r>
        <w:rPr>
          <w:rFonts w:ascii="Arial" w:hAnsi="Arial" w:cs="Arial"/>
          <w:sz w:val="20"/>
          <w:szCs w:val="20"/>
        </w:rPr>
        <w:t>Respecto año ejercicio 202</w:t>
      </w:r>
      <w:r w:rsidR="00A62400">
        <w:rPr>
          <w:rFonts w:ascii="Arial" w:hAnsi="Arial" w:cs="Arial"/>
          <w:sz w:val="20"/>
          <w:szCs w:val="20"/>
        </w:rPr>
        <w:t>4</w:t>
      </w:r>
      <w:r w:rsidR="0029308D">
        <w:rPr>
          <w:rFonts w:ascii="Arial" w:hAnsi="Arial" w:cs="Arial"/>
          <w:sz w:val="20"/>
          <w:szCs w:val="20"/>
        </w:rPr>
        <w:t>, se realizará  la revisión de acuerdo al artículo SEPTIMO de las Reglas Específica del registro y Valoración del Patrimonio.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No se tienen este tipo de Gastos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sidRPr="002E6F68">
        <w:rPr>
          <w:rFonts w:ascii="Arial" w:hAnsi="Arial" w:cs="Arial"/>
          <w:sz w:val="20"/>
          <w:szCs w:val="20"/>
        </w:rPr>
        <w:t xml:space="preserve">No </w:t>
      </w:r>
      <w:r>
        <w:rPr>
          <w:rFonts w:ascii="Arial" w:hAnsi="Arial" w:cs="Arial"/>
          <w:sz w:val="20"/>
          <w:szCs w:val="20"/>
        </w:rPr>
        <w:t>se tienen inversiones de este tipo.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El Costo Histórico</w:t>
      </w:r>
    </w:p>
    <w:p w:rsidR="007D1E76" w:rsidRPr="00E74967" w:rsidRDefault="007D1E76"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No se tienen este tipo de Contingencias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No se han realizado este tipo de operaciones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Se les da el mantenimiento y uso más óptimo</w:t>
      </w: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No se tienen este tipo de Inversiones.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No se tiene relación con otro tipo de Organismos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29308D" w:rsidRDefault="0029308D" w:rsidP="0029308D">
      <w:pPr>
        <w:jc w:val="both"/>
        <w:rPr>
          <w:rFonts w:ascii="Arial" w:hAnsi="Arial" w:cs="Arial"/>
          <w:sz w:val="20"/>
          <w:szCs w:val="20"/>
        </w:rPr>
      </w:pPr>
    </w:p>
    <w:p w:rsidR="0029308D" w:rsidRDefault="0029308D" w:rsidP="0029308D">
      <w:pPr>
        <w:jc w:val="both"/>
        <w:rPr>
          <w:rFonts w:ascii="Arial" w:hAnsi="Arial" w:cs="Arial"/>
          <w:sz w:val="20"/>
          <w:szCs w:val="20"/>
        </w:rPr>
      </w:pPr>
      <w:r>
        <w:rPr>
          <w:rFonts w:ascii="Arial" w:hAnsi="Arial" w:cs="Arial"/>
          <w:sz w:val="20"/>
          <w:szCs w:val="20"/>
        </w:rPr>
        <w:t>No se tienen participación en este tipo de empresas.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No se tienen participación en este tipo de empresas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29308D" w:rsidRDefault="0029308D" w:rsidP="0029308D">
      <w:pPr>
        <w:ind w:firstLine="709"/>
        <w:jc w:val="both"/>
        <w:rPr>
          <w:rFonts w:ascii="Arial" w:hAnsi="Arial" w:cs="Arial"/>
          <w:sz w:val="20"/>
          <w:szCs w:val="20"/>
        </w:rPr>
      </w:pPr>
    </w:p>
    <w:p w:rsidR="007D1E76" w:rsidRPr="0029308D" w:rsidRDefault="0029308D" w:rsidP="0029308D">
      <w:pPr>
        <w:ind w:firstLine="709"/>
        <w:jc w:val="both"/>
        <w:rPr>
          <w:rFonts w:ascii="Arial" w:hAnsi="Arial" w:cs="Arial"/>
          <w:sz w:val="20"/>
          <w:szCs w:val="20"/>
        </w:rPr>
      </w:pPr>
      <w:r>
        <w:rPr>
          <w:rFonts w:ascii="Arial" w:hAnsi="Arial" w:cs="Arial"/>
          <w:sz w:val="20"/>
          <w:szCs w:val="20"/>
        </w:rPr>
        <w:t>No se tiene relación con otro tipo de Organismos</w:t>
      </w:r>
    </w:p>
    <w:p w:rsidR="007D1E76" w:rsidRPr="00E74967" w:rsidRDefault="007D1E76" w:rsidP="00CB41C4">
      <w:pPr>
        <w:tabs>
          <w:tab w:val="left" w:leader="underscore" w:pos="9639"/>
        </w:tabs>
        <w:spacing w:after="0" w:line="240" w:lineRule="auto"/>
        <w:jc w:val="both"/>
        <w:rPr>
          <w:rFonts w:cs="Calibri"/>
        </w:rPr>
      </w:pPr>
    </w:p>
    <w:p w:rsidR="007D1E76" w:rsidRPr="000C3365" w:rsidRDefault="002F57CC" w:rsidP="000C3365">
      <w:pPr>
        <w:pStyle w:val="Ttulo2"/>
        <w:rPr>
          <w:rFonts w:asciiTheme="minorHAnsi" w:hAnsiTheme="minorHAnsi" w:cstheme="minorHAnsi"/>
          <w:b/>
          <w:color w:val="auto"/>
          <w:sz w:val="22"/>
        </w:rPr>
      </w:pPr>
      <w:bookmarkStart w:id="8" w:name="_Toc508279629"/>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29308D" w:rsidRDefault="0029308D" w:rsidP="0029308D">
      <w:pPr>
        <w:ind w:firstLine="709"/>
        <w:jc w:val="both"/>
        <w:rPr>
          <w:rFonts w:ascii="Arial" w:hAnsi="Arial" w:cs="Arial"/>
          <w:sz w:val="20"/>
          <w:szCs w:val="20"/>
        </w:rPr>
      </w:pPr>
    </w:p>
    <w:p w:rsidR="0029308D" w:rsidRPr="00D76339" w:rsidRDefault="0029308D" w:rsidP="0029308D">
      <w:pPr>
        <w:ind w:firstLine="709"/>
        <w:jc w:val="both"/>
        <w:rPr>
          <w:rFonts w:ascii="Arial" w:hAnsi="Arial" w:cs="Arial"/>
          <w:sz w:val="20"/>
          <w:szCs w:val="20"/>
        </w:rPr>
      </w:pPr>
      <w:r>
        <w:rPr>
          <w:rFonts w:ascii="Arial" w:hAnsi="Arial" w:cs="Arial"/>
          <w:sz w:val="20"/>
          <w:szCs w:val="20"/>
        </w:rPr>
        <w:t>No se tienen este tipo de operaciones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29308D" w:rsidRDefault="0029308D" w:rsidP="0029308D">
      <w:pPr>
        <w:ind w:firstLine="709"/>
        <w:jc w:val="both"/>
        <w:rPr>
          <w:rFonts w:ascii="Arial" w:hAnsi="Arial" w:cs="Arial"/>
          <w:sz w:val="20"/>
          <w:szCs w:val="20"/>
        </w:rPr>
      </w:pPr>
    </w:p>
    <w:p w:rsidR="007D1E76" w:rsidRPr="0029308D" w:rsidRDefault="0029308D" w:rsidP="0029308D">
      <w:pPr>
        <w:ind w:firstLine="709"/>
        <w:jc w:val="both"/>
        <w:rPr>
          <w:rFonts w:ascii="Arial" w:hAnsi="Arial" w:cs="Arial"/>
          <w:sz w:val="20"/>
          <w:szCs w:val="20"/>
        </w:rPr>
      </w:pPr>
      <w:r>
        <w:rPr>
          <w:rFonts w:ascii="Arial" w:hAnsi="Arial" w:cs="Arial"/>
          <w:sz w:val="20"/>
          <w:szCs w:val="20"/>
        </w:rPr>
        <w:t>No se tienen este tipo de operaciones</w:t>
      </w:r>
    </w:p>
    <w:p w:rsidR="007D1E76" w:rsidRPr="00E74967" w:rsidRDefault="007D1E76" w:rsidP="00CB41C4">
      <w:pPr>
        <w:tabs>
          <w:tab w:val="left" w:leader="underscore" w:pos="9639"/>
        </w:tabs>
        <w:spacing w:after="0" w:line="240" w:lineRule="auto"/>
        <w:jc w:val="both"/>
        <w:rPr>
          <w:rFonts w:cs="Calibri"/>
        </w:rPr>
      </w:pPr>
    </w:p>
    <w:p w:rsidR="007D1E76" w:rsidRPr="000C3365" w:rsidRDefault="002F57CC" w:rsidP="000C3365">
      <w:pPr>
        <w:pStyle w:val="Ttulo2"/>
        <w:rPr>
          <w:rFonts w:asciiTheme="minorHAnsi" w:hAnsiTheme="minorHAnsi" w:cstheme="minorHAnsi"/>
          <w:b/>
          <w:color w:val="auto"/>
          <w:sz w:val="22"/>
        </w:rPr>
      </w:pPr>
      <w:bookmarkStart w:id="9" w:name="_Toc508279630"/>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29308D" w:rsidRDefault="0029308D" w:rsidP="0029308D">
      <w:pPr>
        <w:ind w:firstLine="709"/>
        <w:jc w:val="both"/>
        <w:rPr>
          <w:rFonts w:ascii="Arial" w:hAnsi="Arial" w:cs="Arial"/>
          <w:sz w:val="20"/>
          <w:szCs w:val="20"/>
        </w:rPr>
      </w:pPr>
    </w:p>
    <w:p w:rsidR="0029308D" w:rsidRDefault="0029308D" w:rsidP="0029308D">
      <w:pPr>
        <w:ind w:firstLine="709"/>
        <w:jc w:val="both"/>
        <w:rPr>
          <w:rFonts w:ascii="Arial" w:hAnsi="Arial" w:cs="Arial"/>
          <w:sz w:val="20"/>
          <w:szCs w:val="20"/>
        </w:rPr>
      </w:pPr>
      <w:r>
        <w:rPr>
          <w:rFonts w:ascii="Arial" w:hAnsi="Arial" w:cs="Arial"/>
          <w:sz w:val="20"/>
          <w:szCs w:val="20"/>
        </w:rPr>
        <w:t>Se presente en las notas de Desglose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lastRenderedPageBreak/>
        <w:t>La proyección para los siguientes 5 años se estima sostenida en un 5% Anual de acuerdo a los Criterios Generales de Política Económica.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2F57CC" w:rsidP="000C3365">
      <w:pPr>
        <w:pStyle w:val="Ttulo2"/>
        <w:rPr>
          <w:rFonts w:asciiTheme="minorHAnsi" w:hAnsiTheme="minorHAnsi" w:cstheme="minorHAnsi"/>
          <w:b/>
          <w:color w:val="auto"/>
          <w:sz w:val="22"/>
        </w:rPr>
      </w:pPr>
      <w:bookmarkStart w:id="10" w:name="_Toc508279631"/>
      <w:r>
        <w:rPr>
          <w:rFonts w:asciiTheme="minorHAnsi" w:hAnsiTheme="minorHAnsi" w:cstheme="minorHAnsi"/>
          <w:b/>
          <w:color w:val="auto"/>
          <w:sz w:val="22"/>
        </w:rPr>
        <w:t>10</w:t>
      </w:r>
      <w:r w:rsidR="007D1E76"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Default="007D1E76" w:rsidP="00CB41C4">
      <w:pPr>
        <w:tabs>
          <w:tab w:val="left" w:leader="underscore" w:pos="9639"/>
        </w:tabs>
        <w:spacing w:after="0" w:line="240" w:lineRule="auto"/>
        <w:jc w:val="both"/>
        <w:rPr>
          <w:rFonts w:cs="Calibri"/>
        </w:rPr>
      </w:pPr>
    </w:p>
    <w:p w:rsidR="0029308D" w:rsidRPr="00817765" w:rsidRDefault="0029308D" w:rsidP="0029308D">
      <w:pPr>
        <w:jc w:val="both"/>
        <w:rPr>
          <w:rFonts w:ascii="Arial" w:hAnsi="Arial" w:cs="Arial"/>
          <w:sz w:val="20"/>
          <w:szCs w:val="20"/>
        </w:rPr>
      </w:pPr>
      <w:r w:rsidRPr="00817765">
        <w:rPr>
          <w:rFonts w:ascii="Arial" w:hAnsi="Arial" w:cs="Arial"/>
          <w:sz w:val="20"/>
          <w:szCs w:val="20"/>
        </w:rPr>
        <w:t>No</w:t>
      </w:r>
      <w:r>
        <w:rPr>
          <w:rFonts w:ascii="Arial" w:hAnsi="Arial" w:cs="Arial"/>
          <w:sz w:val="20"/>
          <w:szCs w:val="20"/>
        </w:rPr>
        <w:t xml:space="preserve"> se tienen Deuda Pública.</w:t>
      </w:r>
    </w:p>
    <w:p w:rsidR="0029308D" w:rsidRPr="00E74967" w:rsidRDefault="0029308D"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29308D" w:rsidRDefault="0029308D"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7D1E76" w:rsidP="00CB41C4">
      <w:pPr>
        <w:tabs>
          <w:tab w:val="left" w:leader="underscore" w:pos="9639"/>
        </w:tabs>
        <w:spacing w:after="0" w:line="240" w:lineRule="auto"/>
        <w:jc w:val="both"/>
        <w:rPr>
          <w:rFonts w:cs="Calibri"/>
        </w:rPr>
      </w:pPr>
    </w:p>
    <w:p w:rsidR="007D1E76" w:rsidRPr="000C3365" w:rsidRDefault="002F57CC" w:rsidP="000C3365">
      <w:pPr>
        <w:pStyle w:val="Ttulo2"/>
        <w:rPr>
          <w:rFonts w:asciiTheme="minorHAnsi" w:hAnsiTheme="minorHAnsi" w:cstheme="minorHAnsi"/>
          <w:b/>
          <w:color w:val="auto"/>
          <w:sz w:val="22"/>
        </w:rPr>
      </w:pPr>
      <w:bookmarkStart w:id="11" w:name="_Toc508279632"/>
      <w:r>
        <w:rPr>
          <w:rFonts w:asciiTheme="minorHAnsi" w:hAnsiTheme="minorHAnsi" w:cstheme="minorHAnsi"/>
          <w:b/>
          <w:color w:val="auto"/>
          <w:sz w:val="22"/>
        </w:rPr>
        <w:t>11</w:t>
      </w:r>
      <w:r w:rsidR="007D1E76"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29308D" w:rsidRDefault="0029308D" w:rsidP="0029308D">
      <w:pPr>
        <w:ind w:firstLine="709"/>
        <w:jc w:val="both"/>
        <w:rPr>
          <w:rFonts w:ascii="Arial" w:hAnsi="Arial" w:cs="Arial"/>
          <w:sz w:val="20"/>
          <w:szCs w:val="20"/>
        </w:rPr>
      </w:pPr>
    </w:p>
    <w:p w:rsidR="007D1E76" w:rsidRPr="0029308D" w:rsidRDefault="0029308D" w:rsidP="0029308D">
      <w:pPr>
        <w:ind w:firstLine="709"/>
        <w:jc w:val="both"/>
        <w:rPr>
          <w:rFonts w:ascii="Arial" w:hAnsi="Arial" w:cs="Arial"/>
          <w:sz w:val="20"/>
          <w:szCs w:val="20"/>
        </w:rPr>
      </w:pPr>
      <w:r>
        <w:rPr>
          <w:rFonts w:ascii="Arial" w:hAnsi="Arial" w:cs="Arial"/>
          <w:sz w:val="20"/>
          <w:szCs w:val="20"/>
        </w:rPr>
        <w:t>Este Ente no cuenta con calificaciones Crediticias.</w:t>
      </w:r>
    </w:p>
    <w:p w:rsidR="007D1E76" w:rsidRPr="00E74967" w:rsidRDefault="007D1E76" w:rsidP="00CB41C4">
      <w:pPr>
        <w:tabs>
          <w:tab w:val="left" w:leader="underscore" w:pos="9639"/>
        </w:tabs>
        <w:spacing w:after="0" w:line="240" w:lineRule="auto"/>
        <w:jc w:val="both"/>
        <w:rPr>
          <w:rFonts w:cs="Calibri"/>
        </w:rPr>
      </w:pPr>
    </w:p>
    <w:p w:rsidR="007D1E76" w:rsidRPr="000C3365" w:rsidRDefault="002F57CC" w:rsidP="000C3365">
      <w:pPr>
        <w:pStyle w:val="Ttulo2"/>
        <w:rPr>
          <w:rFonts w:asciiTheme="minorHAnsi" w:hAnsiTheme="minorHAnsi" w:cstheme="minorHAnsi"/>
          <w:b/>
          <w:color w:val="auto"/>
          <w:sz w:val="22"/>
        </w:rPr>
      </w:pPr>
      <w:bookmarkStart w:id="12" w:name="_Toc508279633"/>
      <w:r>
        <w:rPr>
          <w:rFonts w:asciiTheme="minorHAnsi" w:hAnsiTheme="minorHAnsi" w:cstheme="minorHAnsi"/>
          <w:b/>
          <w:color w:val="auto"/>
          <w:sz w:val="22"/>
        </w:rPr>
        <w:t>12</w:t>
      </w:r>
      <w:r w:rsidR="007D1E76" w:rsidRPr="000C3365">
        <w:rPr>
          <w:rFonts w:asciiTheme="minorHAnsi" w:hAnsiTheme="minorHAnsi" w:cstheme="minorHAnsi"/>
          <w:b/>
          <w:color w:val="auto"/>
          <w:sz w:val="22"/>
        </w:rPr>
        <w:t>. Proceso de Mejora:</w:t>
      </w:r>
      <w:bookmarkEnd w:id="1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29308D" w:rsidRDefault="0029308D" w:rsidP="0029308D">
      <w:pPr>
        <w:ind w:firstLine="709"/>
        <w:jc w:val="both"/>
        <w:rPr>
          <w:rFonts w:ascii="Arial" w:hAnsi="Arial" w:cs="Arial"/>
          <w:sz w:val="20"/>
          <w:szCs w:val="20"/>
        </w:rPr>
      </w:pPr>
    </w:p>
    <w:p w:rsidR="0029308D" w:rsidRDefault="0029308D" w:rsidP="0029308D">
      <w:pPr>
        <w:ind w:firstLine="709"/>
        <w:jc w:val="both"/>
        <w:rPr>
          <w:rFonts w:ascii="Arial" w:hAnsi="Arial" w:cs="Arial"/>
          <w:sz w:val="20"/>
          <w:szCs w:val="20"/>
        </w:rPr>
      </w:pPr>
      <w:r>
        <w:rPr>
          <w:rFonts w:ascii="Arial" w:hAnsi="Arial" w:cs="Arial"/>
          <w:sz w:val="20"/>
          <w:szCs w:val="20"/>
        </w:rPr>
        <w:t>Implementación del registro y control de operaciones en base Devengado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29308D" w:rsidRDefault="0029308D" w:rsidP="0029308D">
      <w:pPr>
        <w:ind w:left="709"/>
        <w:jc w:val="both"/>
        <w:rPr>
          <w:rFonts w:ascii="Arial" w:hAnsi="Arial" w:cs="Arial"/>
          <w:sz w:val="20"/>
          <w:szCs w:val="20"/>
        </w:rPr>
      </w:pPr>
    </w:p>
    <w:p w:rsidR="0029308D" w:rsidRPr="00077008" w:rsidRDefault="0029308D" w:rsidP="0029308D">
      <w:pPr>
        <w:ind w:left="709"/>
        <w:jc w:val="both"/>
        <w:rPr>
          <w:rFonts w:ascii="Arial" w:hAnsi="Arial" w:cs="Arial"/>
          <w:sz w:val="20"/>
          <w:szCs w:val="20"/>
        </w:rPr>
      </w:pPr>
      <w:r w:rsidRPr="00AD7920">
        <w:rPr>
          <w:rFonts w:ascii="Arial" w:hAnsi="Arial" w:cs="Arial"/>
          <w:sz w:val="20"/>
          <w:szCs w:val="20"/>
        </w:rPr>
        <w:t>Las propias contemplada</w:t>
      </w:r>
      <w:r>
        <w:rPr>
          <w:rFonts w:ascii="Arial" w:hAnsi="Arial" w:cs="Arial"/>
          <w:sz w:val="20"/>
          <w:szCs w:val="20"/>
        </w:rPr>
        <w:t>s</w:t>
      </w:r>
      <w:r w:rsidRPr="00AD7920">
        <w:rPr>
          <w:rFonts w:ascii="Arial" w:hAnsi="Arial" w:cs="Arial"/>
          <w:sz w:val="20"/>
          <w:szCs w:val="20"/>
        </w:rPr>
        <w:t xml:space="preserve"> por la Ley General de Contabil</w:t>
      </w:r>
      <w:r>
        <w:rPr>
          <w:rFonts w:ascii="Arial" w:hAnsi="Arial" w:cs="Arial"/>
          <w:sz w:val="20"/>
          <w:szCs w:val="20"/>
        </w:rPr>
        <w:t>id</w:t>
      </w:r>
      <w:r w:rsidRPr="00AD7920">
        <w:rPr>
          <w:rFonts w:ascii="Arial" w:hAnsi="Arial" w:cs="Arial"/>
          <w:sz w:val="20"/>
          <w:szCs w:val="20"/>
        </w:rPr>
        <w:t>ad Gubernamental</w:t>
      </w:r>
      <w:r>
        <w:rPr>
          <w:rFonts w:ascii="Arial" w:hAnsi="Arial" w:cs="Arial"/>
          <w:sz w:val="20"/>
          <w:szCs w:val="20"/>
        </w:rPr>
        <w:t xml:space="preserve">, teniendo como meta </w:t>
      </w:r>
      <w:r w:rsidR="00E87734">
        <w:rPr>
          <w:rFonts w:ascii="Arial" w:hAnsi="Arial" w:cs="Arial"/>
          <w:sz w:val="20"/>
          <w:szCs w:val="20"/>
        </w:rPr>
        <w:t>tener el pleno control</w:t>
      </w:r>
      <w:r>
        <w:rPr>
          <w:rFonts w:ascii="Arial" w:hAnsi="Arial" w:cs="Arial"/>
          <w:sz w:val="20"/>
          <w:szCs w:val="20"/>
        </w:rPr>
        <w:t>.</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2F57CC">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rsidR="007D1E76" w:rsidRPr="00E74967" w:rsidRDefault="007D1E76" w:rsidP="00CB41C4">
      <w:pPr>
        <w:tabs>
          <w:tab w:val="left" w:leader="underscore" w:pos="9639"/>
        </w:tabs>
        <w:spacing w:after="0" w:line="240" w:lineRule="auto"/>
        <w:jc w:val="both"/>
        <w:rPr>
          <w:rFonts w:cs="Calibri"/>
        </w:rPr>
      </w:pPr>
    </w:p>
    <w:p w:rsidR="00F03603" w:rsidRPr="00AD7920" w:rsidRDefault="00F03603" w:rsidP="00F03603">
      <w:pPr>
        <w:ind w:left="709"/>
        <w:jc w:val="both"/>
        <w:rPr>
          <w:rFonts w:ascii="Arial" w:hAnsi="Arial" w:cs="Arial"/>
          <w:sz w:val="20"/>
          <w:szCs w:val="20"/>
        </w:rPr>
      </w:pPr>
      <w:r>
        <w:rPr>
          <w:rFonts w:ascii="Arial" w:hAnsi="Arial" w:cs="Arial"/>
          <w:sz w:val="20"/>
          <w:szCs w:val="20"/>
        </w:rPr>
        <w:t>En este caso, toda la información se encuentra procesada por Segmentos Departamentales del Organismo, en todo caso ya se encuentra plasmada  en el informe de Presupuesto por Unidad Administrativa.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2F57CC" w:rsidP="000C3365">
      <w:pPr>
        <w:pStyle w:val="Ttulo2"/>
        <w:rPr>
          <w:rFonts w:asciiTheme="minorHAnsi" w:hAnsiTheme="minorHAnsi" w:cstheme="minorHAnsi"/>
          <w:b/>
          <w:color w:val="auto"/>
          <w:sz w:val="22"/>
        </w:rPr>
      </w:pPr>
      <w:bookmarkStart w:id="14" w:name="_Toc508279635"/>
      <w:r>
        <w:rPr>
          <w:rFonts w:asciiTheme="minorHAnsi" w:hAnsiTheme="minorHAnsi" w:cstheme="minorHAnsi"/>
          <w:b/>
          <w:color w:val="auto"/>
          <w:sz w:val="22"/>
        </w:rPr>
        <w:t>14</w:t>
      </w:r>
      <w:r w:rsidR="007D1E76"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Default="00F03603" w:rsidP="00CB41C4">
      <w:pPr>
        <w:tabs>
          <w:tab w:val="left" w:leader="underscore" w:pos="9639"/>
        </w:tabs>
        <w:spacing w:after="0" w:line="240" w:lineRule="auto"/>
        <w:jc w:val="both"/>
        <w:rPr>
          <w:rFonts w:cs="Calibri"/>
        </w:rPr>
      </w:pPr>
      <w:r w:rsidRPr="00BB6335">
        <w:rPr>
          <w:rFonts w:ascii="Arial" w:hAnsi="Arial" w:cs="Arial"/>
          <w:sz w:val="20"/>
          <w:szCs w:val="20"/>
        </w:rPr>
        <w:t>No</w:t>
      </w:r>
      <w:r>
        <w:rPr>
          <w:rFonts w:ascii="Arial" w:hAnsi="Arial" w:cs="Arial"/>
          <w:sz w:val="20"/>
          <w:szCs w:val="20"/>
        </w:rPr>
        <w:t xml:space="preserve"> existen eventos posteriores al cierre del periodo de la cuenta pública que pudieran afectar los resultados.</w:t>
      </w:r>
    </w:p>
    <w:p w:rsidR="00F03603" w:rsidRPr="00E74967" w:rsidRDefault="00F03603" w:rsidP="00CB41C4">
      <w:pPr>
        <w:tabs>
          <w:tab w:val="left" w:leader="underscore" w:pos="9639"/>
        </w:tabs>
        <w:spacing w:after="0" w:line="240" w:lineRule="auto"/>
        <w:jc w:val="both"/>
        <w:rPr>
          <w:rFonts w:cs="Calibri"/>
        </w:rPr>
      </w:pPr>
    </w:p>
    <w:p w:rsidR="007D1E76" w:rsidRPr="000C3365" w:rsidRDefault="002F57CC" w:rsidP="000C3365">
      <w:pPr>
        <w:pStyle w:val="Ttulo2"/>
        <w:rPr>
          <w:rFonts w:asciiTheme="minorHAnsi" w:hAnsiTheme="minorHAnsi" w:cstheme="minorHAnsi"/>
          <w:b/>
          <w:color w:val="auto"/>
          <w:sz w:val="22"/>
        </w:rPr>
      </w:pPr>
      <w:bookmarkStart w:id="15" w:name="_Toc508279636"/>
      <w:r>
        <w:rPr>
          <w:rFonts w:asciiTheme="minorHAnsi" w:hAnsiTheme="minorHAnsi" w:cstheme="minorHAnsi"/>
          <w:b/>
          <w:color w:val="auto"/>
          <w:sz w:val="22"/>
        </w:rPr>
        <w:t>15</w:t>
      </w:r>
      <w:r w:rsidR="005E231E" w:rsidRPr="000C3365">
        <w:rPr>
          <w:rFonts w:asciiTheme="minorHAnsi" w:hAnsiTheme="minorHAnsi" w:cstheme="minorHAnsi"/>
          <w:b/>
          <w:color w:val="auto"/>
          <w:sz w:val="22"/>
        </w:rPr>
        <w:t>. Partes Relacionadas:</w:t>
      </w:r>
      <w:bookmarkEnd w:id="1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F03603" w:rsidRDefault="00F03603" w:rsidP="00F03603">
      <w:pPr>
        <w:ind w:left="709"/>
        <w:jc w:val="both"/>
        <w:rPr>
          <w:rFonts w:ascii="Arial" w:hAnsi="Arial" w:cs="Arial"/>
          <w:sz w:val="20"/>
          <w:szCs w:val="20"/>
        </w:rPr>
      </w:pPr>
    </w:p>
    <w:p w:rsidR="00F03603" w:rsidRPr="00175D33" w:rsidRDefault="00F03603" w:rsidP="00F03603">
      <w:pPr>
        <w:ind w:left="709"/>
        <w:jc w:val="both"/>
        <w:rPr>
          <w:rFonts w:ascii="Arial" w:hAnsi="Arial" w:cs="Arial"/>
          <w:sz w:val="20"/>
          <w:szCs w:val="20"/>
        </w:rPr>
      </w:pPr>
      <w:r>
        <w:rPr>
          <w:rFonts w:ascii="Arial" w:hAnsi="Arial" w:cs="Arial"/>
          <w:sz w:val="20"/>
          <w:szCs w:val="20"/>
        </w:rPr>
        <w:t xml:space="preserve">Se tiene relación con la administración Municipal Central, pero financieramente no se obtiene recursos de su parte, salvo excepciones, pero en todo casa este Ente es autosuficiente. </w:t>
      </w:r>
    </w:p>
    <w:p w:rsidR="007D1E76" w:rsidRPr="00E74967" w:rsidRDefault="007D1E76" w:rsidP="00CB41C4">
      <w:pPr>
        <w:tabs>
          <w:tab w:val="left" w:leader="underscore" w:pos="9639"/>
        </w:tabs>
        <w:spacing w:after="0" w:line="240" w:lineRule="auto"/>
        <w:jc w:val="both"/>
        <w:rPr>
          <w:rFonts w:cs="Calibri"/>
        </w:rPr>
      </w:pPr>
    </w:p>
    <w:p w:rsidR="007D1E76" w:rsidRPr="00F46719" w:rsidRDefault="002F57CC" w:rsidP="00F46719">
      <w:pPr>
        <w:pStyle w:val="Ttulo2"/>
        <w:rPr>
          <w:rFonts w:asciiTheme="minorHAnsi" w:hAnsiTheme="minorHAnsi" w:cstheme="minorHAnsi"/>
          <w:b/>
          <w:color w:val="auto"/>
          <w:sz w:val="22"/>
        </w:rPr>
      </w:pPr>
      <w:bookmarkStart w:id="16" w:name="_Toc508279637"/>
      <w:r>
        <w:rPr>
          <w:rFonts w:asciiTheme="minorHAnsi" w:hAnsiTheme="minorHAnsi" w:cstheme="minorHAnsi"/>
          <w:b/>
          <w:color w:val="auto"/>
          <w:sz w:val="22"/>
        </w:rPr>
        <w:t>16</w:t>
      </w:r>
      <w:r w:rsidR="007D1E76"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rsidR="007D1E76" w:rsidRPr="00E74967" w:rsidRDefault="007D1E76" w:rsidP="00CB41C4">
      <w:pPr>
        <w:tabs>
          <w:tab w:val="left" w:leader="underscore" w:pos="9639"/>
        </w:tabs>
        <w:spacing w:after="0" w:line="240" w:lineRule="auto"/>
        <w:jc w:val="both"/>
        <w:rPr>
          <w:rFonts w:cs="Calibri"/>
        </w:rPr>
      </w:pPr>
    </w:p>
    <w:p w:rsidR="007D1E76" w:rsidRDefault="001973A2" w:rsidP="00F03603">
      <w:pPr>
        <w:pBdr>
          <w:bottom w:val="single" w:sz="12" w:space="1" w:color="auto"/>
        </w:pBd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F03603" w:rsidRPr="00E74967" w:rsidRDefault="00F03603" w:rsidP="00F03603">
      <w:pPr>
        <w:pBdr>
          <w:bottom w:val="single" w:sz="12" w:space="1" w:color="auto"/>
        </w:pBdr>
        <w:tabs>
          <w:tab w:val="left" w:leader="underscore" w:pos="9639"/>
        </w:tabs>
        <w:spacing w:after="0" w:line="240" w:lineRule="auto"/>
        <w:jc w:val="both"/>
        <w:rPr>
          <w:rFonts w:cs="Calibri"/>
        </w:rPr>
      </w:pPr>
    </w:p>
    <w:sectPr w:rsidR="00F03603" w:rsidRPr="00E74967" w:rsidSect="00A20354">
      <w:headerReference w:type="default" r:id="rId12"/>
      <w:footerReference w:type="default" r:id="rId13"/>
      <w:pgSz w:w="12240" w:h="15840" w:code="1"/>
      <w:pgMar w:top="1843"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1DE" w:rsidRDefault="002031DE" w:rsidP="00E00323">
      <w:pPr>
        <w:spacing w:after="0" w:line="240" w:lineRule="auto"/>
      </w:pPr>
      <w:r>
        <w:separator/>
      </w:r>
    </w:p>
  </w:endnote>
  <w:endnote w:type="continuationSeparator" w:id="0">
    <w:p w:rsidR="002031DE" w:rsidRDefault="002031D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rsidR="002031DE" w:rsidRDefault="001919D6">
        <w:pPr>
          <w:pStyle w:val="Piedepgina"/>
          <w:jc w:val="right"/>
        </w:pPr>
        <w:r>
          <w:fldChar w:fldCharType="begin"/>
        </w:r>
        <w:r>
          <w:instrText>PAGE   \* MERGEFORMAT</w:instrText>
        </w:r>
        <w:r>
          <w:fldChar w:fldCharType="separate"/>
        </w:r>
        <w:r w:rsidR="00EB13F0" w:rsidRPr="00EB13F0">
          <w:rPr>
            <w:noProof/>
            <w:lang w:val="es-ES"/>
          </w:rPr>
          <w:t>12</w:t>
        </w:r>
        <w:r>
          <w:rPr>
            <w:noProof/>
            <w:lang w:val="es-ES"/>
          </w:rPr>
          <w:fldChar w:fldCharType="end"/>
        </w:r>
      </w:p>
    </w:sdtContent>
  </w:sdt>
  <w:p w:rsidR="002031DE" w:rsidRDefault="002031D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1DE" w:rsidRDefault="002031DE" w:rsidP="00E00323">
      <w:pPr>
        <w:spacing w:after="0" w:line="240" w:lineRule="auto"/>
      </w:pPr>
      <w:r>
        <w:separator/>
      </w:r>
    </w:p>
  </w:footnote>
  <w:footnote w:type="continuationSeparator" w:id="0">
    <w:p w:rsidR="002031DE" w:rsidRDefault="002031D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1DE" w:rsidRDefault="002E6B31" w:rsidP="00A20354">
    <w:pPr>
      <w:pStyle w:val="Encabezado"/>
      <w:jc w:val="center"/>
      <w:rPr>
        <w:b/>
      </w:rPr>
    </w:pPr>
    <w:r>
      <w:rPr>
        <w:rFonts w:ascii="Arial" w:hAnsi="Arial" w:cs="Arial"/>
        <w:b/>
        <w:smallCaps/>
        <w:noProof/>
        <w:sz w:val="24"/>
        <w:szCs w:val="24"/>
        <w:lang w:eastAsia="es-MX"/>
      </w:rPr>
      <w:drawing>
        <wp:anchor distT="0" distB="0" distL="114300" distR="114300" simplePos="0" relativeHeight="251661312" behindDoc="0" locked="0" layoutInCell="1" allowOverlap="1" wp14:anchorId="2109960D" wp14:editId="07CE446C">
          <wp:simplePos x="0" y="0"/>
          <wp:positionH relativeFrom="margin">
            <wp:posOffset>5383665</wp:posOffset>
          </wp:positionH>
          <wp:positionV relativeFrom="paragraph">
            <wp:posOffset>-120110</wp:posOffset>
          </wp:positionV>
          <wp:extent cx="1060450" cy="600075"/>
          <wp:effectExtent l="0" t="0" r="635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tarimoro-01.png"/>
                  <pic:cNvPicPr/>
                </pic:nvPicPr>
                <pic:blipFill rotWithShape="1">
                  <a:blip r:embed="rId1" cstate="print">
                    <a:extLst>
                      <a:ext uri="{28A0092B-C50C-407E-A947-70E740481C1C}">
                        <a14:useLocalDpi xmlns:a14="http://schemas.microsoft.com/office/drawing/2010/main" val="0"/>
                      </a:ext>
                    </a:extLst>
                  </a:blip>
                  <a:srcRect l="9844" t="6234" r="8931" b="6478"/>
                  <a:stretch/>
                </pic:blipFill>
                <pic:spPr bwMode="auto">
                  <a:xfrm>
                    <a:off x="0" y="0"/>
                    <a:ext cx="1060450"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lang w:eastAsia="es-MX"/>
      </w:rPr>
      <w:drawing>
        <wp:anchor distT="0" distB="0" distL="114300" distR="114300" simplePos="0" relativeHeight="251657216" behindDoc="0" locked="0" layoutInCell="1" allowOverlap="1" wp14:anchorId="4E7C28FC" wp14:editId="0C3D26E3">
          <wp:simplePos x="0" y="0"/>
          <wp:positionH relativeFrom="margin">
            <wp:posOffset>-635</wp:posOffset>
          </wp:positionH>
          <wp:positionV relativeFrom="margin">
            <wp:posOffset>-898525</wp:posOffset>
          </wp:positionV>
          <wp:extent cx="607695" cy="838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APAT.png"/>
                  <pic:cNvPicPr/>
                </pic:nvPicPr>
                <pic:blipFill rotWithShape="1">
                  <a:blip r:embed="rId2" cstate="print">
                    <a:extLst>
                      <a:ext uri="{28A0092B-C50C-407E-A947-70E740481C1C}">
                        <a14:useLocalDpi xmlns:a14="http://schemas.microsoft.com/office/drawing/2010/main" val="0"/>
                      </a:ext>
                    </a:extLst>
                  </a:blip>
                  <a:srcRect l="26411" t="9974" r="21653" b="18392"/>
                  <a:stretch/>
                </pic:blipFill>
                <pic:spPr bwMode="auto">
                  <a:xfrm>
                    <a:off x="0" y="0"/>
                    <a:ext cx="607695"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31DE" w:rsidRPr="0097060E">
      <w:rPr>
        <w:b/>
      </w:rPr>
      <w:t>Sistema de Agua Potable y Alcantarillado de Tarimoro</w:t>
    </w:r>
  </w:p>
  <w:p w:rsidR="00D906DD" w:rsidRDefault="00E00A47" w:rsidP="00A4610E">
    <w:pPr>
      <w:pStyle w:val="Encabezado"/>
      <w:spacing w:after="0" w:line="240" w:lineRule="auto"/>
      <w:jc w:val="center"/>
    </w:pPr>
    <w:r>
      <w:t xml:space="preserve">AL </w:t>
    </w:r>
    <w:r w:rsidR="00EB13F0">
      <w:t>30</w:t>
    </w:r>
    <w:r w:rsidR="00A66293">
      <w:t xml:space="preserve"> </w:t>
    </w:r>
    <w:r w:rsidR="002224E8">
      <w:t xml:space="preserve">de </w:t>
    </w:r>
    <w:r w:rsidR="00EB13F0">
      <w:t>juni</w:t>
    </w:r>
    <w:r w:rsidR="00A62400">
      <w:t>o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 w15:restartNumberingAfterBreak="0">
    <w:nsid w:val="539C3D19"/>
    <w:multiLevelType w:val="hybridMultilevel"/>
    <w:tmpl w:val="6E82DEC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D71676"/>
    <w:multiLevelType w:val="hybridMultilevel"/>
    <w:tmpl w:val="E7CE8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
  <w:rsids>
    <w:rsidRoot w:val="007D1E76"/>
    <w:rsid w:val="00040D4F"/>
    <w:rsid w:val="00084EAE"/>
    <w:rsid w:val="00091CE6"/>
    <w:rsid w:val="000A62F9"/>
    <w:rsid w:val="000B7810"/>
    <w:rsid w:val="000C3365"/>
    <w:rsid w:val="0010393C"/>
    <w:rsid w:val="0012405A"/>
    <w:rsid w:val="00154BA3"/>
    <w:rsid w:val="00163F2C"/>
    <w:rsid w:val="001919D6"/>
    <w:rsid w:val="001973A2"/>
    <w:rsid w:val="001C75F2"/>
    <w:rsid w:val="001D2063"/>
    <w:rsid w:val="001D43E9"/>
    <w:rsid w:val="002031DE"/>
    <w:rsid w:val="002224E8"/>
    <w:rsid w:val="0029222F"/>
    <w:rsid w:val="0029308D"/>
    <w:rsid w:val="002C2AE8"/>
    <w:rsid w:val="002D3BE0"/>
    <w:rsid w:val="002E6B31"/>
    <w:rsid w:val="002F57CC"/>
    <w:rsid w:val="003203EE"/>
    <w:rsid w:val="003453CA"/>
    <w:rsid w:val="00435A87"/>
    <w:rsid w:val="00477A19"/>
    <w:rsid w:val="004A58C8"/>
    <w:rsid w:val="004E0D59"/>
    <w:rsid w:val="0051340F"/>
    <w:rsid w:val="0054701E"/>
    <w:rsid w:val="005634E7"/>
    <w:rsid w:val="005D3E43"/>
    <w:rsid w:val="005E231E"/>
    <w:rsid w:val="00657009"/>
    <w:rsid w:val="00681C79"/>
    <w:rsid w:val="00733A64"/>
    <w:rsid w:val="00754D75"/>
    <w:rsid w:val="007610BC"/>
    <w:rsid w:val="007714AB"/>
    <w:rsid w:val="007D1E76"/>
    <w:rsid w:val="007D4484"/>
    <w:rsid w:val="0081625F"/>
    <w:rsid w:val="00856A9D"/>
    <w:rsid w:val="0086459F"/>
    <w:rsid w:val="008C3BB8"/>
    <w:rsid w:val="008E076C"/>
    <w:rsid w:val="008F0A47"/>
    <w:rsid w:val="0092765C"/>
    <w:rsid w:val="00A20354"/>
    <w:rsid w:val="00A4610E"/>
    <w:rsid w:val="00A62400"/>
    <w:rsid w:val="00A66293"/>
    <w:rsid w:val="00A730E0"/>
    <w:rsid w:val="00AA41E5"/>
    <w:rsid w:val="00AB722B"/>
    <w:rsid w:val="00AE1F6A"/>
    <w:rsid w:val="00B04EFF"/>
    <w:rsid w:val="00B602CF"/>
    <w:rsid w:val="00BB7AAA"/>
    <w:rsid w:val="00C24265"/>
    <w:rsid w:val="00C82DAA"/>
    <w:rsid w:val="00C91229"/>
    <w:rsid w:val="00C97E1E"/>
    <w:rsid w:val="00CB41C4"/>
    <w:rsid w:val="00CC43E4"/>
    <w:rsid w:val="00CF1316"/>
    <w:rsid w:val="00D13C44"/>
    <w:rsid w:val="00D33963"/>
    <w:rsid w:val="00D8291D"/>
    <w:rsid w:val="00D906DD"/>
    <w:rsid w:val="00D975B1"/>
    <w:rsid w:val="00DE6DA1"/>
    <w:rsid w:val="00E00323"/>
    <w:rsid w:val="00E00A47"/>
    <w:rsid w:val="00E74967"/>
    <w:rsid w:val="00E87734"/>
    <w:rsid w:val="00EA37F5"/>
    <w:rsid w:val="00EA7915"/>
    <w:rsid w:val="00EB13F0"/>
    <w:rsid w:val="00EF19A7"/>
    <w:rsid w:val="00F03603"/>
    <w:rsid w:val="00F46719"/>
    <w:rsid w:val="00F54F6F"/>
    <w:rsid w:val="00F611B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C4B80BF"/>
  <w15:docId w15:val="{A6353E5E-220C-49FF-8A0E-C038A261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purl.org/dc/dcmityp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52992A-83CF-4DFF-A556-FA0186DE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12</Pages>
  <Words>2674</Words>
  <Characters>14713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17353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Agua Potable Tarimoro</cp:lastModifiedBy>
  <cp:revision>48</cp:revision>
  <cp:lastPrinted>2024-04-24T20:50:00Z</cp:lastPrinted>
  <dcterms:created xsi:type="dcterms:W3CDTF">2017-01-12T05:27:00Z</dcterms:created>
  <dcterms:modified xsi:type="dcterms:W3CDTF">2024-07-16T18:56:00Z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